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HochbauBAusbV — Übergangsregelung für Hochbaufacharbeiter und Hochbaufacharbeiterinnen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abgelegter Gesellen- oder Abschlussprüfung zum Hochbaufacharbeiter oder zur Hochbaufacharbeiterin nach der Verordnung über die Berufsausbildung in der Bauwirtschaft vom 2. Juni 1999 (BGBl. I S. 1102), die zuletzt durch Artikel 1 der Verordnung vom 20. Februar 2009 (BGBl. I S. 399) geändert worden ist, sind bis zum Ablauf des 31. Juli 2030 bei Fortsetzung der Berufsausbildung</w:t>
      </w:r>
    </w:p>
    <w:p>
      <w:pPr>
        <w:ind w:left="420"/>
      </w:pPr>
      <w:r>
        <w:t xml:space="preserve">1. zum Maurer oder zur Maurerin,</w:t>
      </w:r>
    </w:p>
    <w:p>
      <w:pPr>
        <w:ind w:left="420"/>
      </w:pPr>
      <w:r>
        <w:t xml:space="preserve">2. zum Beton- und Stahlbetonbauer oder zur Beton- und Stahlbetonbauerin,</w:t>
      </w:r>
    </w:p>
    <w:p>
      <w:pPr>
        <w:ind w:left="420"/>
      </w:pPr>
      <w:r>
        <w:t xml:space="preserve">3. zum Feuerungs- und Schornsteinbauer oder zur Feuerungs- und Schornsteinbauerin oder</w:t>
      </w:r>
    </w:p>
    <w:p>
      <w:pPr>
        <w:ind w:left="420"/>
      </w:pPr>
      <w:r>
        <w:t xml:space="preserve">4. zum Bauwerksmechaniker für Abbruch und Betontrenntechnik oder zur Bauwerksmechanikerin für Abbruch und Betontrenntechnik</w:t>
      </w:r>
    </w:p>
    <w:p>
      <w:r>
        <w:t xml:space="preserve">nach § 10 Absatz 8 der Verordnung über die Berufsausbildung in der Bauwirtschaft deren Regelungen anzuwenden.</w:t>
      </w:r>
    </w:p>
    <w:p>
      <w:r>
        <w:rPr>
          <w:color w:val="555555"/>
          <w:sz w:val="17"/>
        </w:rPr>
        <w:t xml:space="preserve">Zitiervorschlag: § 74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