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HochbauBAusbV — Prüfungsbereiche des Teiles 2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2 der Gesellen- oder Abschlussprüfung findet in den folgenden Prüfungsbereichen statt:</w:t>
      </w:r>
    </w:p>
    <w:p>
      <w:pPr>
        <w:ind w:left="420"/>
      </w:pPr>
      <w:r>
        <w:t xml:space="preserve">1. „Herstellen von Baukörpern im Feuerungs- und Schornsteinbau“,</w:t>
      </w:r>
    </w:p>
    <w:p>
      <w:pPr>
        <w:ind w:left="420"/>
      </w:pPr>
      <w:r>
        <w:t xml:space="preserve">2. „Durchführen von Arbeiten im Feuerungsbau“,</w:t>
      </w:r>
    </w:p>
    <w:p>
      <w:pPr>
        <w:ind w:left="420"/>
      </w:pPr>
      <w:r>
        <w:t xml:space="preserve">3. „Durchführen von Arbeiten im Schornsteinbau“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52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