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HochbauBAusbV — Aufteilung in zwei Teile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48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