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HochbauBAusbV — Gewichtung der Prüfungsbereiche und Anforderungen für das Bestehen der Gesellen- oder Abschlussprüfung</w:t>
      </w:r>
    </w:p>
    <w:p>
      <w:r>
        <w:rPr>
          <w:color w:val="555555"/>
          <w:sz w:val="18"/>
        </w:rPr>
        <w:t xml:space="preserve">Hochbauberufeausbildungsverordnung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von Baukörpern und Durchführen von Hochbauarbeiten“    mit 40 Prozent,</w:t>
      </w:r>
    </w:p>
    <w:p>
      <w:r>
        <w:rPr>
          <w:rFonts w:ascii="Courier New" w:hAnsi="Courier New"/>
          <w:sz w:val="17"/>
        </w:rPr>
        <w:t xml:space="preserve">„Herstellen von Baukörpern aus Beton und Stahlbeton“    mit 30 Prozent,</w:t>
      </w:r>
    </w:p>
    <w:p>
      <w:r>
        <w:rPr>
          <w:rFonts w:ascii="Courier New" w:hAnsi="Courier New"/>
          <w:sz w:val="17"/>
        </w:rPr>
        <w:t xml:space="preserve">„Durchführen von Beton- und Stahlbetonarbeiten“    mit 10 Prozent,</w:t>
      </w:r>
    </w:p>
    <w:p>
      <w:r>
        <w:rPr>
          <w:rFonts w:ascii="Courier New" w:hAnsi="Courier New"/>
          <w:sz w:val="17"/>
        </w:rPr>
        <w:t xml:space="preserve">„Durchführen von Hochbaumaßnahmen“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Gesellen- oder Abschlussprüfung ist bestanden, wenn die Prüfungsleistungen – auch unter Berücksichtigung einer mündlichen Ergänzungsprüfung nach § 45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im Prüfungsbereich „Herstellen von Baukörpern aus Beton und Stahlbeton“ mit mindestens „ausreichend“,</w:t>
      </w:r>
    </w:p>
    <w:p>
      <w:pPr>
        <w:ind w:left="420"/>
      </w:pPr>
      <w:r>
        <w:t xml:space="preserve">4. in mindestens zwei weiteren Prüfungsbereichen von Teil 2 mit mindestens „ausreichend“ und</w:t>
      </w:r>
    </w:p>
    <w:p>
      <w:pPr>
        <w:ind w:left="420"/>
      </w:pPr>
      <w:r>
        <w:t xml:space="preserve">5. in keinem Prüfungsbereich von Teil 2 mit „ungenügend“.</w:t>
      </w:r>
    </w:p>
    <w:p>
      <w:r>
        <w:t xml:space="preserve">Über das Bestehen ist ein Beschluss nach § 35a Absatz 1 Nummer 3 der Handwerksordnung oder nach § 42 Absatz 1 Nummer 3 des Berufsbildungsgesetzes zu fassen.</w:t>
      </w:r>
    </w:p>
    <w:p>
      <w:r>
        <w:rPr>
          <w:color w:val="555555"/>
          <w:sz w:val="17"/>
        </w:rPr>
        <w:t xml:space="preserve">Zitiervorschlag: § 44 HochbauBAusbV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https://recht.nulegal.eu/gesetze/HochbauBAusbV/44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