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 HochbauBAusbV — Prüfungsbereich „Durchführen von Hochbaumaßnahmen“</w:t>
      </w:r>
    </w:p>
    <w:p>
      <w:r>
        <w:rPr>
          <w:color w:val="555555"/>
          <w:sz w:val="18"/>
        </w:rPr>
        <w:t xml:space="preserve">Hochbauberufeausbildungsverordnung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Im Prüfungsbereich „Durchführen von Hochbaumaßnahmen“ hat der Prüfling nachzuweisen, dass er in der Lage ist,</w:t>
      </w:r>
    </w:p>
    <w:p>
      <w:pPr>
        <w:ind w:left="420"/>
      </w:pPr>
      <w:r>
        <w:t xml:space="preserve">1. Art und Umfang von Aufträgen zu erfassen sowie Arbeitsabläufe entsprechend der technischen Unterlagen zu planen und zu dokumentieren,</w:t>
      </w:r>
    </w:p>
    <w:p>
      <w:pPr>
        <w:ind w:left="420"/>
      </w:pPr>
      <w:r>
        <w:t xml:space="preserve">2. Gefährdungen auf Baustellen zu unterscheiden und Schutzmaßnahmen auszuwählen,</w:t>
      </w:r>
    </w:p>
    <w:p>
      <w:pPr>
        <w:ind w:left="420"/>
      </w:pPr>
      <w:r>
        <w:t xml:space="preserve">3. Zeichnungen für die eigene Arbeitsvorbereitung zu erstellen,</w:t>
      </w:r>
    </w:p>
    <w:p>
      <w:pPr>
        <w:ind w:left="420"/>
      </w:pPr>
      <w:r>
        <w:t xml:space="preserve">4. sowohl organische als auch anorganische Baustoffe sowie Bauhilfsstoffe zu unterscheiden,</w:t>
      </w:r>
    </w:p>
    <w:p>
      <w:pPr>
        <w:ind w:left="420"/>
      </w:pPr>
      <w:r>
        <w:t xml:space="preserve">5. Energieeffizienzmaßnahmen unter Berücksichtigung von Aspekten der Nachhaltigkeit zu unterscheiden,</w:t>
      </w:r>
    </w:p>
    <w:p>
      <w:pPr>
        <w:ind w:left="420"/>
      </w:pPr>
      <w:r>
        <w:t xml:space="preserve">6. Brandschutz- und Schallschutzmaßnahmen zu beschreiben,</w:t>
      </w:r>
    </w:p>
    <w:p>
      <w:pPr>
        <w:ind w:left="420"/>
      </w:pPr>
      <w:r>
        <w:t xml:space="preserve">7. Messverfahren zu unterscheiden und auszuwählen,</w:t>
      </w:r>
    </w:p>
    <w:p>
      <w:pPr>
        <w:ind w:left="420"/>
      </w:pPr>
      <w:r>
        <w:t xml:space="preserve">8. Prüfverfahren zu unterscheiden und auszuwählen,</w:t>
      </w:r>
    </w:p>
    <w:p>
      <w:pPr>
        <w:ind w:left="420"/>
      </w:pPr>
      <w:r>
        <w:t xml:space="preserve">9. Aufmaße zu erstellen,</w:t>
      </w:r>
    </w:p>
    <w:p>
      <w:pPr>
        <w:ind w:left="420"/>
      </w:pPr>
      <w:r>
        <w:t xml:space="preserve">10. Konstruktionen im Holzbau, im Trockenbau, von Putzen oder von Estrichen zu unterscheiden und auszuwählen sowie</w:t>
      </w:r>
    </w:p>
    <w:p>
      <w:pPr>
        <w:ind w:left="420"/>
      </w:pPr>
      <w:r>
        <w:t xml:space="preserve">11. Konstruktionen zu Baugruben, Gräben, Verbau, Wasserhaltung oder Infrastrukturtechnik zu unterscheiden und auszuwählen.</w:t>
      </w:r>
    </w:p>
    <w:p>
      <w:r>
        <w:t xml:space="preserve">(2) Die Aufgaben müssen praxisbezogen sein. Der Prüfling hat die Aufgaben schriftlich zu bearbeiten.</w:t>
      </w:r>
    </w:p>
    <w:p>
      <w:r>
        <w:t xml:space="preserve">(3) Die Prüfungszeit beträgt 90 Minuten.</w:t>
      </w:r>
    </w:p>
    <w:p>
      <w:r>
        <w:rPr>
          <w:color w:val="555555"/>
          <w:sz w:val="17"/>
        </w:rPr>
        <w:t xml:space="preserve">Zitiervorschlag: § 42 HochbauBAusbV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https://recht.nulegal.eu/gesetze/HochbauBAusbV/42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