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HochbauBAusbV — Prüfungsbereiche des Teiles 2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Teil 2 der Gesellen- oder Abschlussprüfung findet in den folgenden Prüfungsbereichen statt:</w:t>
      </w:r>
    </w:p>
    <w:p>
      <w:pPr>
        <w:ind w:left="420"/>
      </w:pPr>
      <w:r>
        <w:t xml:space="preserve">1. „Herstellen von Baukörpern aus Beton und Stahlbeton“,</w:t>
      </w:r>
    </w:p>
    <w:p>
      <w:pPr>
        <w:ind w:left="420"/>
      </w:pPr>
      <w:r>
        <w:t xml:space="preserve">2. „Durchführen von Beton- und Stahlbetonarbeiten“,</w:t>
      </w:r>
    </w:p>
    <w:p>
      <w:pPr>
        <w:ind w:left="420"/>
      </w:pPr>
      <w:r>
        <w:t xml:space="preserve">3. „Durchführen von Hochbaumaßnahmen“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39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