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HochbauBAusbV — Aufteilung in zwei Teile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35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