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HochbauBAusbV — Prüfungsbereiche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Gesellen- oder Abschlussprüfung findet in den folgenden Prüfungsbereichen statt:</w:t>
      </w:r>
    </w:p>
    <w:p>
      <w:pPr>
        <w:ind w:left="420"/>
      </w:pPr>
      <w:r>
        <w:t xml:space="preserve">1. „Herstellen von Baukörpern“,</w:t>
      </w:r>
    </w:p>
    <w:p>
      <w:pPr>
        <w:ind w:left="420"/>
      </w:pPr>
      <w:r>
        <w:t xml:space="preserve">2. „Durchführen von Hochbauarbeiten“ und</w:t>
      </w:r>
    </w:p>
    <w:p>
      <w:pPr>
        <w:ind w:left="420"/>
      </w:pPr>
      <w:r>
        <w:t xml:space="preserve">3. „Wirtschafts- und Sozialkunde“.</w:t>
      </w:r>
    </w:p>
    <w:p>
      <w:r>
        <w:rPr>
          <w:color w:val="555555"/>
          <w:sz w:val="17"/>
        </w:rPr>
        <w:t xml:space="preserve">Zitiervorschlag: § 16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