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HochbauBAusbV — Prüfungsbereich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findet im Prüfungsbereich „Durchführen von Arbeiten im Hochbau“ statt.</w:t>
      </w:r>
    </w:p>
    <w:p>
      <w:r>
        <w:t xml:space="preserve">(2) Im Prüfungsbereich „Durchführen von Arbeiten im Hochbau“ hat der Prüfling nachzuweisen, dass er in der Lage ist,</w:t>
      </w:r>
    </w:p>
    <w:p>
      <w:pPr>
        <w:ind w:left="420"/>
      </w:pPr>
      <w:r>
        <w:t xml:space="preserve">1. Arbeitsschritte zu planen sowie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Baustoffe und Bauhilfsstoffe zu unterscheiden, auszuwählen und einzusetzen sowie Mengen zu berechnen,</w:t>
      </w:r>
    </w:p>
    <w:p>
      <w:pPr>
        <w:ind w:left="420"/>
      </w:pPr>
      <w:r>
        <w:t xml:space="preserve">4. Werkzeuge zu unterscheiden,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Pläne, Skizzen und Zeichnungen zu lesen und anzuwenden,</w:t>
      </w:r>
    </w:p>
    <w:p>
      <w:pPr>
        <w:ind w:left="420"/>
      </w:pPr>
      <w:r>
        <w:t xml:space="preserve">7. Untergründe nach Vorgaben vorzubereiten,</w:t>
      </w:r>
    </w:p>
    <w:p>
      <w:pPr>
        <w:ind w:left="420"/>
      </w:pPr>
      <w:r>
        <w:t xml:space="preserve">8. Baukörper herzustellen,</w:t>
      </w:r>
    </w:p>
    <w:p>
      <w:pPr>
        <w:ind w:left="420"/>
      </w:pPr>
      <w:r>
        <w:t xml:space="preserve">9. Gefahrstoffe in Bauprodukten zu unterscheiden, Schutzmaßnahmen zu ergreifen, Gefahrstoffe umweltgerecht zu lagern sowie</w:t>
      </w:r>
    </w:p>
    <w:p>
      <w:pPr>
        <w:ind w:left="420"/>
      </w:pPr>
      <w:r>
        <w:t xml:space="preserve">10. Arbeitsergebnisse zu kontrollieren sowie Maßnahmen zur Qualitätssicherung durchzuführen.</w:t>
      </w:r>
    </w:p>
    <w:p>
      <w:r>
        <w:t xml:space="preserve">(3) Für den Nachweis nach Absatz 2 ist eine der folgenden Tätigkeiten zugrunde zu legen:</w:t>
      </w:r>
    </w:p>
    <w:p>
      <w:pPr>
        <w:ind w:left="420"/>
      </w:pPr>
      <w:r>
        <w:t xml:space="preserve">1. Herstellen eines Mauerwerkskörpers mit rechtwinklig einbindender Wand,</w:t>
      </w:r>
    </w:p>
    <w:p>
      <w:pPr>
        <w:ind w:left="420"/>
      </w:pPr>
      <w:r>
        <w:t xml:space="preserve">2. Herstellen einer betonierfähigen Schalung für ein rechteckiges Stahlbetonteil oder</w:t>
      </w:r>
    </w:p>
    <w:p>
      <w:pPr>
        <w:ind w:left="420"/>
      </w:pPr>
      <w:r>
        <w:t xml:space="preserve">3. Herstellen eines rechteckigen Bewehrungskorbes.</w:t>
      </w:r>
    </w:p>
    <w:p>
      <w:r>
        <w:t xml:space="preserve">Der Prüfungsausschuss legt fest, welche Tätigkeit nach Satz 1 zugrunde gelegt wird. Dabei ist der Schwerpunkt nach § 4 Absatz 1 Satz 1 Nummer 3, in dem der Prüfling ausgebildet wird, zu berücksichtigen.</w:t>
      </w:r>
    </w:p>
    <w:p>
      <w:r>
        <w:t xml:space="preserve">(4) Der Prüfling hat eine Arbeitsaufgabe durchzuführen und die Durchführung mit praxisüblichen Unterlagen zu dokumentieren. Zusätzlich hat der Prüfling hierfür geeignete Aufgaben schriftlich zu bearbeiten. Die Aufgaben müssen praxisbezogen sein.</w:t>
      </w:r>
    </w:p>
    <w:p>
      <w:r>
        <w:t xml:space="preserve">(5) Die Prüfungszeit für die Durchführung der Arbeitsaufgabe und für die Dokumentationen beträgt insgesamt 6 Stunden. Die Prüfungszeit für die schriftliche Bearbeitung der Aufgaben beträgt 60 Minuten.</w:t>
      </w:r>
    </w:p>
    <w:p>
      <w:r>
        <w:rPr>
          <w:color w:val="555555"/>
          <w:sz w:val="17"/>
        </w:rPr>
        <w:t xml:space="preserve">Zitiervorschlag: § 13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