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HochbauBAusbV — Zeitpunkt</w:t>
      </w:r>
    </w:p>
    <w:p>
      <w:r>
        <w:rPr>
          <w:color w:val="555555"/>
          <w:sz w:val="18"/>
        </w:rPr>
        <w:t xml:space="preserve">Hochbauberufeausbildungsverordnung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Zwischenprüfung soll im dritten Ausbildungshalbjahr stattfinden.</w:t>
      </w:r>
    </w:p>
    <w:p>
      <w:r>
        <w:t xml:space="preserve">(2) Den Zeitpunkt legt die zuständige Stelle fest.</w:t>
      </w:r>
    </w:p>
    <w:p>
      <w:r>
        <w:rPr>
          <w:color w:val="555555"/>
          <w:sz w:val="17"/>
        </w:rPr>
        <w:t xml:space="preserve">Zitiervorschlag: § 11 HochbauBAusbV</w:t>
      </w:r>
    </w:p>
    <w:p>
      <w:r>
        <w:rPr>
          <w:color w:val="555555"/>
          <w:sz w:val="17"/>
        </w:rPr>
        <w:t xml:space="preserve">Quelle: Bundesamt für Justiz, abgerufen 01.08.2026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https://recht.nulegal.eu/gesetze/HochbauBAusbV/11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