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HoblMstrV — Inkrafttreten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Diese Verordnung tritt am 1. Januar 1998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HoblMstrV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https://recht.nulegal.eu/gesetze/HoblMstrV/8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