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HoblMstrV — Weitere Anforderungen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02.02.2022 bis 01.09.2022. Dies ist nicht die aktuelle Fassung.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7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