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HoblMstrV — Prüfung der fachtheoretischen Kenntnisse (Teil II)</w:t>
      </w:r>
    </w:p>
    <w:p>
      <w:r>
        <w:rPr>
          <w:color w:val="555555"/>
          <w:sz w:val="18"/>
        </w:rPr>
        <w:t xml:space="preserve">Holzblasinstrumentenmachermeisterverordnung</w:t>
      </w:r>
    </w:p>
    <w:p>
      <w:r>
        <w:rPr>
          <w:color w:val="555555"/>
          <w:sz w:val="18"/>
        </w:rPr>
        <w:t xml:space="preserve">Historische Fassung: Stand 10.06.2019 bis 01.09.2022. Dies ist nicht die aktuelle Fassung.</w:t>
      </w:r>
    </w:p>
    <w:p>
      <w:r>
        <w:t xml:space="preserve">(1) In Teil II sind Kenntnisse in den folgenden fünf Prüfungsfächern nachzuweisen:</w:t>
      </w:r>
    </w:p>
    <w:p>
      <w:pPr>
        <w:ind w:left="420"/>
      </w:pPr>
      <w:r>
        <w:t xml:space="preserve">1. Technische Mathematik:</w:t>
      </w:r>
    </w:p>
    <w:p>
      <w:pPr>
        <w:ind w:left="780"/>
      </w:pPr>
      <w:r>
        <w:t xml:space="preserve">a) Verschnittberechnungen,</w:t>
      </w:r>
    </w:p>
    <w:p>
      <w:pPr>
        <w:ind w:left="780"/>
      </w:pPr>
      <w:r>
        <w:t xml:space="preserve">b) Mensuren,</w:t>
      </w:r>
    </w:p>
    <w:p>
      <w:pPr>
        <w:ind w:left="780"/>
      </w:pPr>
      <w:r>
        <w:t xml:space="preserve">c) Flächen-, Längen-, Gewichts-, Volumen- und Körperberechnungen;</w:t>
      </w:r>
    </w:p>
    <w:p>
      <w:pPr>
        <w:ind w:left="420"/>
      </w:pPr>
      <w:r>
        <w:t xml:space="preserve">2. Fachtechnologie:</w:t>
      </w:r>
    </w:p>
    <w:p>
      <w:pPr>
        <w:ind w:left="780"/>
      </w:pPr>
      <w:r>
        <w:t xml:space="preserve">a) Herstellung, Instandhaltung und Restaurierung von Holzblasinstrumenten,</w:t>
      </w:r>
    </w:p>
    <w:p>
      <w:pPr>
        <w:ind w:left="780"/>
      </w:pPr>
      <w:r>
        <w:t xml:space="preserve">b) berufsbezogene Physik, insbesondere Akustik und Statik,</w:t>
      </w:r>
    </w:p>
    <w:p>
      <w:pPr>
        <w:ind w:left="780"/>
      </w:pPr>
      <w:r>
        <w:t xml:space="preserve">c) berufsbezogene Vorschriften der Arbeitssicherheit und des Arbeitsschutzes;</w:t>
      </w:r>
    </w:p>
    <w:p>
      <w:pPr>
        <w:ind w:left="780"/>
      </w:pPr>
      <w:r>
        <w:t xml:space="preserve">d) Arten und Eigenschaften der berufsbezogenen Legierungen und Edelmetallauflagen;</w:t>
      </w:r>
    </w:p>
    <w:p>
      <w:pPr>
        <w:ind w:left="420"/>
      </w:pPr>
      <w:r>
        <w:t xml:space="preserve">3. Werkstoffkunde:Arten, Eigenschaften, Bezeichnungen, Verwendung, Verarbeitung, Lagerung und Entsorgung der berufsbezogenen Werk- und Hilfsstoffe;</w:t>
      </w:r>
    </w:p>
    <w:p>
      <w:pPr>
        <w:ind w:left="420"/>
      </w:pPr>
      <w:r>
        <w:t xml:space="preserve">4. Stilkunde, Musik- und Musikinstrumentengeschichte, Musiktheorie:</w:t>
      </w:r>
    </w:p>
    <w:p>
      <w:pPr>
        <w:ind w:left="780"/>
      </w:pPr>
      <w:r>
        <w:t xml:space="preserve">a) Stilkunde,</w:t>
      </w:r>
    </w:p>
    <w:p>
      <w:pPr>
        <w:ind w:left="780"/>
      </w:pPr>
      <w:r>
        <w:t xml:space="preserve">b) Musik- und Musikinstrumentengeschichte, insbesondere der Holzblasinstrumente,</w:t>
      </w:r>
    </w:p>
    <w:p>
      <w:pPr>
        <w:ind w:left="780"/>
      </w:pPr>
      <w:r>
        <w:t xml:space="preserve">c) Musiktheorie;</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acht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HoblMstrV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https://recht.nulegal.eu/gesetze/HoblMstrV/5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