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HoblMstrV — Meisterprüfungsarbeit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Bau einer spielfertigen Böhm-Flöte,</w:t>
      </w:r>
    </w:p>
    <w:p>
      <w:pPr>
        <w:ind w:left="420"/>
      </w:pPr>
      <w:r>
        <w:t xml:space="preserve">2. Bau einer spielfertigen Klarinette,</w:t>
      </w:r>
    </w:p>
    <w:p>
      <w:pPr>
        <w:ind w:left="420"/>
      </w:pPr>
      <w:r>
        <w:t xml:space="preserve">3. Bau einer spielfertigen Oboe oder eines spielfertigen Englischhornes,</w:t>
      </w:r>
    </w:p>
    <w:p>
      <w:pPr>
        <w:ind w:left="420"/>
      </w:pPr>
      <w:r>
        <w:t xml:space="preserve">4. Bau eines spielfertigen Saxophons,</w:t>
      </w:r>
    </w:p>
    <w:p>
      <w:pPr>
        <w:ind w:left="420"/>
      </w:pPr>
      <w:r>
        <w:t xml:space="preserve">5. Bau eines spielfertigen Fagottes.</w:t>
      </w:r>
    </w:p>
    <w:p>
      <w:r>
        <w:t xml:space="preserve">(2) Der Prüfling hat vor Anfertigung der Meisterprüfungsarbeit dem Meisterprüfungsausschuß die technische Zeichnung und die Vorkalkulation zur Genehmigung vorzulegen.</w:t>
      </w:r>
    </w:p>
    <w:p>
      <w:r>
        <w:t xml:space="preserve">(3) Mit der Meisterprüfungsarbeit sind die technische Zeichnung, der Arbeitsbericht sowie die Vor- und Nachkalkulation vorzulegen.</w:t>
      </w:r>
    </w:p>
    <w:p>
      <w:r>
        <w:t xml:space="preserve">(4) Die technische Zeichnung, der Arbeitsbericht sowie die Vor- und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HoblMstrV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https://recht.nulegal.eu/gesetze/HoblMstrV/3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