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HoEZuVO (Sachsen)</w:t>
      </w:r>
    </w:p>
    <w:p>
      <w:r>
        <w:rPr>
          <w:color w:val="555555"/>
          <w:sz w:val="18"/>
        </w:rPr>
        <w:t xml:space="preserve">Haftopferentschädigungszuständigkeitsverordnung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25 Abs. 1 Satz 2 des Gesetzes über die Rehabilitierung und Entschädigung von Opfern rechtsstaatswidriger Strafverfolgungsmaßnahmen im Beitrittsgebiet ( Strafrechtliches Rehabilitierungsgesetz – StrRehaG ) in der Fassung der Bekanntmachung vom 17. Dezember 1999 (BGBl. I S. 2664), das zuletzt durch Artikel 1 des Gesetzes vom 21. August 2007 (BGBl. I S. 2118) geändert worden ist, wird verordnet:</w:t>
      </w:r>
    </w:p>
    <w:p>
      <w:r>
        <w:rPr>
          <w:color w:val="555555"/>
          <w:sz w:val="17"/>
        </w:rPr>
        <w:t xml:space="preserve">Zitiervorschlag: Eingangsformel HoEZuVO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https://recht.nulegal.eu/gesetze/HoEZuVO/eingangsformel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