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HoEZuVO (Sachsen) — Inkrafttreten</w:t>
      </w:r>
    </w:p>
    <w:p>
      <w:r>
        <w:rPr>
          <w:color w:val="555555"/>
          <w:sz w:val="18"/>
        </w:rPr>
        <w:t xml:space="preserve">Haftopferentschädigungszuständigkeitsverordnung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29. August 2007 in Kraft.</w:t>
      </w:r>
    </w:p>
    <w:p>
      <w:r>
        <w:t xml:space="preserve">Dresden, den 7. November 2007</w:t>
      </w:r>
    </w:p>
    <w:p>
      <w:r>
        <w:t xml:space="preserve">Der Ministerpräsident</w:t>
      </w:r>
    </w:p>
    <w:p>
      <w:r>
        <w:t xml:space="preserve">Prof. Dr. Georg Milbradt</w:t>
      </w:r>
    </w:p>
    <w:p>
      <w:r>
        <w:t xml:space="preserve">Der Staatsminister der Justiz</w:t>
      </w:r>
    </w:p>
    <w:p>
      <w:r>
        <w:t xml:space="preserve">Geert Mackenroth</w:t>
      </w:r>
    </w:p>
    <w:p>
      <w:r>
        <w:rPr>
          <w:color w:val="555555"/>
          <w:sz w:val="17"/>
        </w:rPr>
        <w:t xml:space="preserve">Zitiervorschlag: § 2 HoEZuVO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https://recht.nulegal.eu/gesetze/HoEZuVO/2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