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HoEZuVO (Sachsen) — Zuständigkeit</w:t>
      </w:r>
    </w:p>
    <w:p>
      <w:r>
        <w:rPr>
          <w:color w:val="555555"/>
          <w:sz w:val="18"/>
        </w:rPr>
        <w:t xml:space="preserve">Haftopferentschädigungszuständigkeitsverordnung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Gewährung der besonderen Zuwendung nach § 17a StrRehaG sind die Haftopferentschädigungsbehörden zuständig.</w:t>
      </w:r>
    </w:p>
    <w:p>
      <w:r>
        <w:t xml:space="preserve">(2) Haftopferentschädigungsbehörden sind:</w:t>
      </w:r>
    </w:p>
    <w:p>
      <w:r>
        <w:t xml:space="preserve">1. das Staatsministerium der Justiz und für Europa als oberste Haftopferentschädigungsbehörde und</w:t>
      </w:r>
    </w:p>
    <w:p>
      <w:r>
        <w:t xml:space="preserve">2. die Landesdirektion Sachsen als obere Haftopferentschädigungsbehörde.</w:t>
      </w:r>
    </w:p>
    <w:p>
      <w:r>
        <w:t xml:space="preserve">(3) Soweit nichts anderes bestimmt ist, ist die obere Haftopferentschädigungsbehörde sachlich zuständig.</w:t>
      </w:r>
    </w:p>
    <w:p>
      <w:r>
        <w:rPr>
          <w:color w:val="555555"/>
          <w:sz w:val="17"/>
        </w:rPr>
        <w:t xml:space="preserve">Zitiervorschlag: § 1 HoEZuVO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https://recht.nulegal.eu/gesetze/HoEZuVO/1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