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HoBaMstrV — Ziel und Gliederung des Teils I</w:t>
      </w:r>
    </w:p>
    <w:p>
      <w:r>
        <w:rPr>
          <w:color w:val="555555"/>
          <w:sz w:val="18"/>
        </w:rPr>
        <w:t xml:space="preserve">Holz- und Bautenschutzmeisterverordnung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Prüfung in Teil I hat der Prüfling seine berufliche Handlungskompetenz dadurch nachzuweisen, dass er komplexe berufliche Aufgabenstellungen lösen und dabei Tätigkeiten des Holz- und Bautenschutzgewerbes meisterhaft verrichten kann.</w:t>
      </w:r>
    </w:p>
    <w:p>
      <w:r>
        <w:t xml:space="preserve">(2) Der Teil I der Meisterprüfung umfasst ein Meisterprüfungsprojekt und ein darauf bezogenes Fachgespräch.</w:t>
      </w:r>
    </w:p>
    <w:p>
      <w:r>
        <w:rPr>
          <w:color w:val="555555"/>
          <w:sz w:val="17"/>
        </w:rPr>
        <w:t xml:space="preserve">Zitiervorschlag: § 3 HoBaMstrV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https://recht.nulegal.eu/gesetze/HoBaMstrV/3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