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HkzZVO (Nordrhein-Westfalen) — Inkrafttreten und Außerkrafttreten</w:t>
      </w:r>
    </w:p>
    <w:p>
      <w:r>
        <w:rPr>
          <w:color w:val="555555"/>
          <w:sz w:val="18"/>
        </w:rPr>
        <w:t xml:space="preserve">Heizkostenzuschuss-Zuständigkeitsverordnung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Sie tritt am 31. Mai 2032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Für die Ministerin für Heimat, Kommunales,</w:t>
      </w:r>
    </w:p>
    <w:p>
      <w:r>
        <w:t xml:space="preserve">Bau und Digitalisierung</w:t>
      </w:r>
    </w:p>
    <w:p>
      <w:r>
        <w:t xml:space="preserve">Der Minister des Innern</w:t>
      </w:r>
    </w:p>
    <w:p>
      <w:r>
        <w:rPr>
          <w:color w:val="555555"/>
          <w:sz w:val="17"/>
        </w:rPr>
        <w:t xml:space="preserve">Zitiervorschlag: § 2 HkzZVO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https://recht.nulegal.eu/gesetze/HkzZVO/2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