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HkRNDV — Kontoeröffnung im Regionalnachweisregister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Für die Ausstellung, Übertragung und Entwertung von Regionalnachweisen ist ein Konto im Regionalnachweisregister erforderlich.</w:t>
      </w:r>
    </w:p>
    <w:p>
      <w:r>
        <w:t xml:space="preserve">(2) § 6 ist entsprechend anzuwenden. Abweichend davon ist ein Identitätsnachweis nicht erforderlich, wenn die Identität des Antragstellers oder seines Vertreters bereits bei der Eröffnung eines Kontos im Herkunftsnachweisregister nachgewiesen wurde.</w:t>
      </w:r>
    </w:p>
    <w:p>
      <w:r>
        <w:rPr>
          <w:color w:val="555555"/>
          <w:sz w:val="17"/>
        </w:rPr>
        <w:t xml:space="preserve">Zitiervorschlag: § 7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