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HkRNDV — Ausschluss des Widerspruchsverfahrens</w:t>
      </w:r>
    </w:p>
    <w:p>
      <w:r>
        <w:rPr>
          <w:color w:val="555555"/>
          <w:sz w:val="18"/>
        </w:rPr>
        <w:t xml:space="preserve">Herkunfts- und Regionalnachweis-Durchführungsverordnung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 Maßnahmen und Entscheidungen der Registerverwaltung nach dieser Rechtsverordnung findet kein Widerspruchsverfahren statt.</w:t>
      </w:r>
    </w:p>
    <w:p>
      <w:r>
        <w:rPr>
          <w:color w:val="555555"/>
          <w:sz w:val="17"/>
        </w:rPr>
        <w:t xml:space="preserve">Zitiervorschlag: § 53 HkRNDV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https://recht.nulegal.eu/gesetze/HkRNDV/53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