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HkRNDV — Erhebung, Speicherung und Verwendung von personenbezogenen Daten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Registerverwaltung ist befugt, die nach § 6 Absatz 4 und 5, § 8 Absatz 5, § 9 Absatz 1, 4, 5, 8 und 9, § 10 Absatz 1, 2 und 3, § 11 Absatz 1, § 21 Absatz 1 Satz 2 Nummer 1 und 2, auch in Verbindung mit § 24 Absatz 1 Satz 1, § 30 Absatz 3 Satz 2 und 3, § 37 Absatz 1 Satz 2, § 38, § 40, § 41 Absatz 1 und 2 und § 44 Absatz 1 Satz 2 genannten personenbezogenen Daten zu erheben, zu speichern und zu verwenden, soweit dies zur Führung des Herkunftsnachweisregisters erforderlich ist.</w:t>
      </w:r>
    </w:p>
    <w:p>
      <w:r>
        <w:t xml:space="preserve">(2) Die Registerverwaltung ist befugt, die nach § 7 Absatz 2 in Verbindung mit § 6 Absatz 4 und 5, § 8 Absatz 5, § 9 Absatz 1, 4, 5, 8 und 9, § 23 Absatz 1 Satz 1 in Verbindung mit § 21 Absatz 1 Satz 2 Nummer 1 und 2, auch in Verbindung mit § 24 Absatz 1 Satz 1, § 31 Absatz 1 in Verbindung mit § 30 Absatz 3 Satz 2 und 3, § 38, § 40 und § 44 Absatz 1 genannten personenbezogenen Daten zu erheben, zu speichern und zu verwenden, soweit dies zur Führung des Regionalnachweisregisters erforderlich ist.</w:t>
      </w:r>
    </w:p>
    <w:p>
      <w:r>
        <w:rPr>
          <w:color w:val="555555"/>
          <w:sz w:val="17"/>
        </w:rPr>
        <w:t xml:space="preserve">Zitiervorschlag: § 45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