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HkRNDV — Begutachtungspflichten bei im Herkunftsnachweisregister registrierten hocheffizienten KWK-Anlagen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Betreiber von Anlagen nach § 12 Absatz 1a Satz 2, die die Ausstellung von Herkunftsnachweisen mit der zusätzlichen Angabe, dass der Strom in hocheffizienten KWK-Anlagen erzeugt worden ist, beantragen, müssen vor der Ausstellung mindestens einmal im Kalenderjahr die Angaben nach § 12 Absatz 1a Satz 2 durch einen Umweltgutachter oder eine Umweltgutachterorganisation ermitteln und der Registerverwaltung übermitteln lassen. Die Registerverwaltung kann prüfen, ob die Strommengen, für die die Ausstellung von Herkunftsnachweisen mit der Zusatzangabe nach § 12 Absatz 1a beantragt worden ist, in hocheffizienten KWK-Anlagen erzeugt worden sind.</w:t>
      </w:r>
    </w:p>
    <w:p>
      <w:r>
        <w:t xml:space="preserve">(2) Die Pflichten nach § 42 bleiben hiervon unberührt.</w:t>
      </w:r>
    </w:p>
    <w:p>
      <w:r>
        <w:rPr>
          <w:color w:val="555555"/>
          <w:sz w:val="17"/>
        </w:rPr>
        <w:t xml:space="preserve">Zitiervorschlag: § 42a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