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HkRNDV — Verfall von Regionalnachweisen</w:t>
      </w:r>
    </w:p>
    <w:p>
      <w:r>
        <w:rPr>
          <w:color w:val="555555"/>
          <w:sz w:val="18"/>
        </w:rPr>
        <w:t xml:space="preserve">Herkunfts- und Regionalnachweis-Durchführungsverordnung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Registerverwaltung erklärt Regionalnachweise für verfallen, wenn sie nicht spätestens 24 Kalendermonate nach dem Ende des Erzeugungszeitraums entwertet worden sind. Eine Verwendung der verfallenen Regionalnachweise ist untersagt.</w:t>
      </w:r>
    </w:p>
    <w:p>
      <w:r>
        <w:rPr>
          <w:color w:val="555555"/>
          <w:sz w:val="17"/>
        </w:rPr>
        <w:t xml:space="preserve">Zitiervorschlag: § 35 HkRNDV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https://recht.nulegal.eu/gesetze/HkRNDV/35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