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HkRNDV — Verwendung und Entwertung von Regionalnachweisen, Ausweisung in der Stromkennzeichnung</w:t>
      </w:r>
    </w:p>
    <w:p>
      <w:r>
        <w:rPr>
          <w:color w:val="555555"/>
          <w:sz w:val="18"/>
        </w:rPr>
        <w:t xml:space="preserve">Herkunfts- und Regionalnachweis-Durchführungsverordnung</w:t>
      </w:r>
    </w:p>
    <w:p>
      <w:r>
        <w:rPr>
          <w:color w:val="555555"/>
          <w:sz w:val="18"/>
        </w:rPr>
        <w:t xml:space="preserve">Stand: 01.10.2025 (konsolidierte Textfassung, kein amtliches Inkrafttretensdatum)</w:t>
      </w:r>
    </w:p>
    <w:p>
      <w:r>
        <w:t xml:space="preserve">(1) Für die Verwendung und Entwertung von Regionalnachweisen sind die Vorschriften des § 30 zur Verwendung und Entwertung von Herkunftsnachweisen entsprechend mit der Maßgabe anzuwenden, dass</w:t>
      </w:r>
    </w:p>
    <w:p>
      <w:pPr>
        <w:ind w:left="420"/>
      </w:pPr>
      <w:r>
        <w:t xml:space="preserve">1. der Antrag auf Entwertung zulässig ist in der Zeit vom 1. April bis 31. Juli des Kalenderjahres, das auf den Erzeugungszeitraum der Strommenge, für die der zu entwertende Regionalnachweis ausgestellt worden ist, folgt,</w:t>
      </w:r>
    </w:p>
    <w:p>
      <w:pPr>
        <w:ind w:left="420"/>
      </w:pPr>
      <w:r>
        <w:t xml:space="preserve">2. Regionalnachweise nur zur Kennzeichnung des Stroms, der in regionalem Zusammenhang zur Erzeugung verbraucht worden ist, nach § 79a Absatz 8 des Erneuerbare-Energien-Gesetzes und nach § 42 Absatz 5 Satz 2 des Energiewirtschaftsgesetzes verwendet werden dürfen,</w:t>
      </w:r>
    </w:p>
    <w:p>
      <w:pPr>
        <w:ind w:left="420"/>
      </w:pPr>
      <w:r>
        <w:t xml:space="preserve">3. die gelieferte Strommenge, für die Regionalnachweise verwendet werden, auf ganze Kilowattstunden aufzurunden ist und</w:t>
      </w:r>
    </w:p>
    <w:p>
      <w:pPr>
        <w:ind w:left="420"/>
      </w:pPr>
      <w:r>
        <w:t xml:space="preserve">4. im Entwertungsantrag anzugeben sind</w:t>
      </w:r>
    </w:p>
    <w:p>
      <w:pPr>
        <w:ind w:left="780"/>
      </w:pPr>
      <w:r>
        <w:t xml:space="preserve">a) das Verwendungsgebiet, in dem die Regionalnachweise verwendet werden sollen,</w:t>
      </w:r>
    </w:p>
    <w:p>
      <w:pPr>
        <w:ind w:left="780"/>
      </w:pPr>
      <w:r>
        <w:t xml:space="preserve">b) die in dieses Verwendungsgebiet gelieferten Stromprodukte, für die die Regionalnachweise verwendet werden sollen,</w:t>
      </w:r>
    </w:p>
    <w:p>
      <w:pPr>
        <w:ind w:left="780"/>
      </w:pPr>
      <w:r>
        <w:t xml:space="preserve">c) die Menge des Stroms, die je Stromprodukt nach Buchstabe b in das jeweilige Verwendungsgebiet geliefert und von den Stromkunden verbraucht wurde, und</w:t>
      </w:r>
    </w:p>
    <w:p>
      <w:pPr>
        <w:ind w:left="780"/>
      </w:pPr>
      <w:r>
        <w:t xml:space="preserve">d) die Angabe, ob für den das Stromprodukt nach Buchstabe b verbrauchenden Stromkunden an der Abnahmestelle in dem Verwendungsgebiet die Pflicht zur Zahlung der EEG-Umlage nach den §§ 28 bis 42 des Energiefinanzierungsgesetzes begrenzt ist, und, sollte dies der Fall sein, die Höhe des Anteils „Erneuerbare Energien, finanziert aus der EEG-Umlage“ in Prozent.</w:t>
      </w:r>
    </w:p>
    <w:p>
      <w:r>
        <w:t xml:space="preserve">(2) Stromlieferanten, die nach § 42 Absatz 5 Satz 2 des Energiewirtschaftsgesetzes Angaben zur regionalen Herkunft machen, müssen diese in der Stromkennzeichnung in grafischer Form, klar, verständlich und deutlich erkennbar abgesetzt von den übrigen Angaben zur Stromkennzeichnung ausweisen. Die Registerverwaltung ist berechtigt, die konkrete Gestaltung, insbesondere die textliche und grafische Darstellung, durch Allgemeinverfügung zu regeln. Die Allgemeinverfügung wird im Bundesanzeiger bekannt gemacht. Die Bekanntmachung wird zusätzlich auf der Internetseite der Registerverwaltung veröffentlicht.</w:t>
      </w:r>
    </w:p>
    <w:p>
      <w:r>
        <w:rPr>
          <w:color w:val="555555"/>
          <w:sz w:val="17"/>
        </w:rPr>
        <w:t xml:space="preserve">Zitiervorschlag: § 31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