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HkRNDV — Änderung von Anlagendaten</w:t>
      </w:r>
    </w:p>
    <w:p>
      <w:r>
        <w:rPr>
          <w:color w:val="555555"/>
          <w:sz w:val="18"/>
        </w:rPr>
        <w:t xml:space="preserve">Herkunfts- und Regionalnachweis-Durchführungsverordnung</w:t>
      </w:r>
    </w:p>
    <w:p>
      <w:r>
        <w:rPr>
          <w:color w:val="555555"/>
          <w:sz w:val="18"/>
        </w:rPr>
        <w:t xml:space="preserve">Stand: 09.08.2025 (konsolidierte Textfassung, kein amtliches Inkrafttretensdatum)</w:t>
      </w:r>
    </w:p>
    <w:p>
      <w:r>
        <w:t xml:space="preserve">(1) Ändern sich die nach § 21 Absatz 1 Satz 2, Absatz 1a oder Absatz 2 Satz 1 oder nach § 23 Absatz 1 Satz 2 mitgeteilten Daten, ist der Anlagenbetreiber verpflichtet, die geänderten Daten sowie den Stichtag, an dem die Änderungen wirksam werden, vollständig und unverzüglich der Registerverwaltung zu übermitteln. Eine Änderung der Postleitzahl am Standort des physikalischen Zählpunkts der Anlage wird durch die Registerverwaltung erst mit Beginn des auf die Änderung folgenden Kalenderjahres berücksichtigt.</w:t>
      </w:r>
    </w:p>
    <w:p>
      <w:r>
        <w:t xml:space="preserve">(2) Bei einer Anlage nach § 12 Absatz 1 Satz 1 Nummer 8, die im Herkunftsnachweisregister registriert ist, hat der Anlagenbetreiber die Richtigkeit der geänderten Daten nach § 21 Absatz 1 Satz 2 Nummer 4, 5, 8 und 9, Absatz 1a und 3 durch eine Bestätigung des Umweltgutachters oder der Umweltgutachterorganisation nachzuweisen. Ein solcher Nachweis ist nicht erforderlich, wenn der zuständige Betreiber des Elektrizitätsversorgungsnetzes die geänderten Daten der Registerverwaltung übermittelt oder diese im Marktstammdatenregister bestätigt hat. Vor dem Eingang der Bestätigung nach Satz 1 oder der Datenübermittlung nach Satz 2 bei der Registerverwaltung werden keine Herkunftsnachweise für die in der betreffenden Anlage erzeugte Strommenge ausgestellt.</w:t>
      </w:r>
    </w:p>
    <w:p>
      <w:r>
        <w:rPr>
          <w:color w:val="555555"/>
          <w:sz w:val="17"/>
        </w:rPr>
        <w:t xml:space="preserve">Zitiervorschlag: § 24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