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HkRNDV — Begriffsbestimmungen</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Im Sinne dieser Verordnung ist</w:t>
      </w:r>
    </w:p>
    <w:p>
      <w:pPr>
        <w:ind w:left="420"/>
      </w:pPr>
      <w:r>
        <w:t xml:space="preserve">1. Biomasseein Energieträger nach § 3 Nummer 21 Buchstabe e des Erneuerbare-Energien-Gesetzes vom 21. Juli 2014 (BGBl. I S. 1066), das zuletzt durch Artikel 1 des Gesetzes vom 21. Juni 2018 (BGBl. I S. 862) geändert worden ist;</w:t>
      </w:r>
    </w:p>
    <w:p>
      <w:pPr>
        <w:ind w:left="420"/>
      </w:pPr>
      <w:r>
        <w:t xml:space="preserve">2. Dienstleistereine natürliche Person, eine juristische Person des privaten oder öffentlichen Rechts oder eine rechtsfähige Personengesellschaft, die von einem Kontoinhaber bevollmächtigt ist, für ihn Handlungen im Zusammenhang mit der Nutzung des Herkunftsnachweisregisters oder des Regionalnachweisregisters gegenüber der Registerverwaltung vorzunehmen;</w:t>
      </w:r>
    </w:p>
    <w:p>
      <w:pPr>
        <w:ind w:left="420"/>
      </w:pPr>
      <w:r>
        <w:t xml:space="preserve">3. Grenzkraftwerkeine Anlage, die auf der deutschen Staatsgrenze steht und bei der sich auf beiden Seiten der Staatsgrenze Einrichtungen befinden, die für die Stromerzeugung in dieser Anlage notwendig sind, wobei die Grenze der deutschen ausschließlichen Wirtschaftszone mit der ausschließlichen Wirtschaftszone eines anderen Staates als deutsche Staatsgrenze gilt;</w:t>
      </w:r>
    </w:p>
    <w:p>
      <w:pPr>
        <w:ind w:left="420"/>
      </w:pPr>
      <w:r>
        <w:t xml:space="preserve">4. Kontoeine dem Kontoinhaber durch die Registerverwaltung zugeordnete Einrichtung innerhalb des Herkunftsnachweisregisters oder des Regionalnachweisregisters, in der die Ausstellung, die Übertragung, die Anerkennung und die Entwertung von Herkunftsnachweisen oder die Ausstellung, die Übertragung und die Entwertung von Regionalnachweisen erfolgt;</w:t>
      </w:r>
    </w:p>
    <w:p>
      <w:pPr>
        <w:ind w:left="420"/>
      </w:pPr>
      <w:r>
        <w:t xml:space="preserve">5. Kontoinhaber ein Händler, Anlagenbetreiber oder Stromlieferant, für den die Registerverwaltung ein Konto im Herkunftsnachweisregister oder im Regionalnachweisregister eröffnet hat;</w:t>
      </w:r>
    </w:p>
    <w:p>
      <w:pPr>
        <w:ind w:left="420"/>
      </w:pPr>
      <w:r>
        <w:t xml:space="preserve">6. Nutzereine natürliche Person, die von einem Kontoinhaber oder einem Dienstleister bevollmächtigt ist, im Herkunftsnachweisregister oder im Regionalnachweisregister für den Vollmachtgeber Handlungen gegenüber der Registerverwaltung vorzunehmen;</w:t>
      </w:r>
    </w:p>
    <w:p>
      <w:pPr>
        <w:ind w:left="420"/>
      </w:pPr>
      <w:r>
        <w:t xml:space="preserve">7. Postfacheine dem Registerteilnehmer und dem Betreiber eines Elektrizitätsversorgungsnetzes zugeordnete Einrichtung innerhalb des Herkunftsnachweisregisters oder des Regionalnachweisregisters, die von der Registerverwaltung für den Empfang von elektronischen Dokumenten und Nachrichten sowie für die Bekanntgabe von Entscheidungen bereitgestellt wird;</w:t>
      </w:r>
    </w:p>
    <w:p>
      <w:pPr>
        <w:ind w:left="420"/>
      </w:pPr>
      <w:r>
        <w:t xml:space="preserve">8. Registerteilnehmer</w:t>
      </w:r>
    </w:p>
    <w:p>
      <w:pPr>
        <w:ind w:left="780"/>
      </w:pPr>
      <w:r>
        <w:t xml:space="preserve">a) im Herkunftsnachweisregister: ein Kontoinhaber, ein registrierter Dienstleister, ein Umweltgutachter und eine Umweltgutachterorganisation, oder</w:t>
      </w:r>
    </w:p>
    <w:p>
      <w:pPr>
        <w:ind w:left="780"/>
      </w:pPr>
      <w:r>
        <w:t xml:space="preserve">b) im Regionalnachweisregister: ein Kontoinhaber und ein registrierter Dienstleister;</w:t>
      </w:r>
    </w:p>
    <w:p>
      <w:pPr>
        <w:ind w:left="420"/>
      </w:pPr>
      <w:r>
        <w:t xml:space="preserve">9. Registerverwaltungdas Umweltbundesamt als zuständige Stelle nach § 79 Absatz 4 und nach § 79a Absatz 4 des Erneuerbare-Energien-Gesetzes;</w:t>
      </w:r>
    </w:p>
    <w:p>
      <w:pPr>
        <w:ind w:left="420"/>
      </w:pPr>
      <w:r>
        <w:t xml:space="preserve">10. Speichereine Anlage im Sinne des § 3 Nummer 1 zweiter Halbsatz des Erneuerbare-Energien-Gesetzes;</w:t>
      </w:r>
    </w:p>
    <w:p>
      <w:pPr>
        <w:ind w:left="420"/>
      </w:pPr>
      <w:r>
        <w:t xml:space="preserve">11. Umweltgutachter oder Umweltgutachterorganisation</w:t>
      </w:r>
    </w:p>
    <w:p>
      <w:pPr>
        <w:ind w:left="780"/>
      </w:pPr>
      <w:r>
        <w:t xml:space="preserve">a) ein Umweltgutachter oder eine Umweltgutachterorganisation im Sinne des § 2 Absatz 2 oder Absatz 3 des Umweltauditgesetzes in der Fassung der Bekanntmachung vom 4. September 2002 (BGBl. I S. 3490), das zuletzt durch Artikel 13 des Gesetzes vom 27. Juni 2017 (BGBl. I S. 1966) geändert worden ist, in der jeweils geltenden Fassung, sofern der Umweltgutachter oder die Umweltorganisation über Folgendes verfügt:</w:t>
      </w:r>
    </w:p>
    <w:p>
      <w:pPr>
        <w:ind w:left="1140"/>
      </w:pPr>
      <w:r>
        <w:t xml:space="preserve">aa) eine Zulassung für den Bereich Elektrizitätserzeugung aus erneuerbaren Energien entsprechend dem Zulassungsbereich 35.11.6 nach dem Anhang zur UAG-Zulassungsverfahrensverordnung in der Fassung der Bekanntmachung vom 12. September 2002 (BGBl. I S. 3654), die zuletzt durch Artikel 65 des Gesetzes vom 29. März 2017 (BGBl. I S. 626) geändert worden ist,</w:t>
      </w:r>
    </w:p>
    <w:p>
      <w:pPr>
        <w:ind w:left="1140"/>
      </w:pPr>
      <w:r>
        <w:t xml:space="preserve">bb) eine Zulassung für den Bereich Elektrizitätserzeugung aus Wasserkraft entsprechend dem Zulassungsbereich 35.11.7 nach dem Anhang zur UAG-Zulassungsverfahrensverordnung</w:t>
      </w:r>
    </w:p>
    <w:p>
      <w:pPr>
        <w:ind w:left="1140"/>
      </w:pPr>
      <w:r>
        <w:t xml:space="preserve">cc) eine Zulassung für den Bereich Sammlung, Behandlung und Beseitigung von Abfällen; Rückgewinnung entsprechend dem Zulassungsbereich 38 nach dem Anhang zur UAG-Zulassungsverfahrensverordnung, oder</w:t>
      </w:r>
    </w:p>
    <w:p>
      <w:pPr>
        <w:ind w:left="1140"/>
      </w:pPr>
      <w:r>
        <w:t xml:space="preserve">dd) eine Zulassung für den Bereich Wärmeversorgung entsprechend dem Zulassungsbereich 35.30.6 nach dem Anhang zur UAG-Zulassungsverfahrensverordnung, sowie</w:t>
      </w:r>
    </w:p>
    <w:p>
      <w:pPr>
        <w:ind w:left="780"/>
      </w:pPr>
      <w:r>
        <w:t xml:space="preserve">b) ein Umweltgutachter oder eine Umweltgutachterorganisation, der oder die</w:t>
      </w:r>
    </w:p>
    <w:p>
      <w:pPr>
        <w:ind w:left="1140"/>
      </w:pPr>
      <w:r>
        <w:t xml:space="preserve">aa) in einem anderen Mitgliedstaat der Europäischen Union oder einem anderen Vertragsstaat des Abkommens über den Europäischen Wirtschaftsraum über eine Zulassung für die in Buchstabe a genannten Bereiche verfügt und</w:t>
      </w:r>
    </w:p>
    <w:p>
      <w:pPr>
        <w:ind w:left="1140"/>
      </w:pPr>
      <w:r>
        <w:t xml:space="preserve">bb) nach Maßgabe des § 18 Absatz 1 und 2 des Umweltauditgesetzes im Bundesgebiet tätig werden darf;</w:t>
      </w:r>
    </w:p>
    <w:p>
      <w:pPr>
        <w:ind w:left="420"/>
      </w:pPr>
      <w:r>
        <w:t xml:space="preserve">12. Verwendungsgebietdas Postleitzahlengebiet oder das Gemeindegebiet, wenn dieses mehrere Postleitzahlengebiete umfasst, am Ort der Belieferung des Letztverbrauchers mit Strom;</w:t>
      </w:r>
    </w:p>
    <w:p>
      <w:pPr>
        <w:ind w:left="420"/>
      </w:pPr>
      <w:r>
        <w:t xml:space="preserve">13. Verwendungsregiondas Verwendungsgebiet sowie alle Postleitzahlengebiete, die sich ganz oder teilweise im Umkreis von 50 Kilometern um das Verwendungsgebiet befinden.</w:t>
      </w:r>
    </w:p>
    <w:p>
      <w:r>
        <w:rPr>
          <w:color w:val="555555"/>
          <w:sz w:val="17"/>
        </w:rPr>
        <w:t xml:space="preserve">Zitiervorschlag: § 2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