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HkRNDV — Registerführung</w:t>
      </w:r>
    </w:p>
    <w:p>
      <w:r>
        <w:rPr>
          <w:color w:val="555555"/>
          <w:sz w:val="18"/>
        </w:rPr>
        <w:t xml:space="preserve">Herkunfts- und Regionalnachweis-Durchführungsverordnung</w:t>
      </w:r>
    </w:p>
    <w:p>
      <w:r>
        <w:rPr>
          <w:color w:val="555555"/>
          <w:sz w:val="18"/>
        </w:rPr>
        <w:t xml:space="preserve">Stand: 01.10.2025 (konsolidierte Textfassung, kein amtliches Inkrafttretensdatum)</w:t>
      </w:r>
    </w:p>
    <w:p>
      <w:r>
        <w:t xml:space="preserve">(1) Die Registerverwaltung führt das Herkunftsnachweisregister als elektronische Datenbank, in der die Ausstellung inländischer Herkunftsnachweise, die Anerkennung ausländischer Herkunftsnachweise sowie die Übertragung und die Entwertung in- und ausländischer Herkunftsnachweise registriert werden.</w:t>
      </w:r>
    </w:p>
    <w:p>
      <w:r>
        <w:t xml:space="preserve">(2) Die Registerverwaltung führt das Regionalnachweisregister als elektronische Datenbank, in der die Ausstellung, die Übertragung und die Entwertung von Regionalnachweisen registriert werden.</w:t>
      </w:r>
    </w:p>
    <w:p>
      <w:r>
        <w:t xml:space="preserve">(3) Verwaltungsakte im Rahmen dieser Verordnung können vollständig durch automatische Einrichtungen erlassen werden, sofern kein Anlass besteht, den Einzelfall durch Amtsträger zu bearbeiten.</w:t>
      </w:r>
    </w:p>
    <w:p>
      <w:r>
        <w:rPr>
          <w:color w:val="555555"/>
          <w:sz w:val="17"/>
        </w:rPr>
        <w:t xml:space="preserve">Zitiervorschlag: § 1 HkRNDV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https://recht.nulegal.eu/gesetze/HkRNDV/1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