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HkNRG — Inbetriebnahme</w:t>
      </w:r>
    </w:p>
    <w:p>
      <w:r>
        <w:rPr>
          <w:color w:val="555555"/>
          <w:sz w:val="18"/>
        </w:rPr>
        <w:t xml:space="preserve">Herkunftsnachweisregistergesetz</w:t>
      </w:r>
    </w:p>
    <w:p>
      <w:r>
        <w:rPr>
          <w:color w:val="555555"/>
          <w:sz w:val="18"/>
        </w:rPr>
        <w:t xml:space="preserve">Stand: 09.02.2024 (konsolidierte Textfassung, kein amtliches Inkrafttretensdatum)</w:t>
      </w:r>
    </w:p>
    <w:p>
      <w:r>
        <w:t xml:space="preserve">Die zuständige Behörde gibt die Inbetriebnahme des Herkunftsnachweisregisters für Gas und die Inbetriebnahme des Herkunftsnachweisregisters für Wärme oder Kälte im Bundesanzeiger bekannt.</w:t>
      </w:r>
    </w:p>
    <w:p>
      <w:r>
        <w:rPr>
          <w:color w:val="555555"/>
          <w:sz w:val="17"/>
        </w:rPr>
        <w:t xml:space="preserve">Zitiervorschlag: § 6 HkNRG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https://recht.nulegal.eu/gesetze/HkNRG/6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