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HkNGebV</w:t>
      </w:r>
    </w:p>
    <w:p>
      <w:r>
        <w:rPr>
          <w:color w:val="555555"/>
          <w:sz w:val="18"/>
        </w:rPr>
        <w:t xml:space="preserve">Herkunfts- und Regionalnachweis-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63a Absatz 1 und 2 Nummer 3 des Erneuerbare-Energien-Gesetzes vom 25. Oktober 2008 (BGBl. I S. 2074), der durch Artikel 1 Nummer 20 des Gesetzes vom 17. August 2012 (BGBl. I S. 1754) geändert worden ist, in Verbindung mit § 6 Absatz 2 der Herkunftsnachweisverordnung vom 28. November 2011 (BGBl. I S. 2447), der zuletzt durch Artikel 4 des Gesetzes vom 17. August 2012 (BGBl. I S. 1754) geändert worden ist, und dem 2. und 3. Abschnitt des Verwaltungskostengesetzes vom 23. Juni 1970 (BGBl. I S. 821), verordnet das Umweltbundesamt:</w:t>
      </w:r>
    </w:p>
    <w:p>
      <w:r>
        <w:rPr>
          <w:color w:val="555555"/>
          <w:sz w:val="17"/>
        </w:rPr>
        <w:t xml:space="preserve">Zitiervorschlag: Eingangsformel HkNGebV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https://recht.nulegal.eu/gesetze/HkNGebV/eingangsformel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