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HkNGebV — Reduzierung der Jahresgebühren, Abrundung</w:t>
      </w:r>
    </w:p>
    <w:p>
      <w:r>
        <w:rPr>
          <w:color w:val="555555"/>
          <w:sz w:val="18"/>
        </w:rPr>
        <w:t xml:space="preserve">Herkunfts- und Regionalnachweis-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Jahresgebühr nach Anlage 1 Nummer 3 und die Jahresgebühr nach Anlage 2 Nummer 3 reduzieren sich jeweils anteilig um die Gebühr für die Monate, in denen der Kontoinhaber kein entsprechendes Konto bei der Registerverwaltung geführt hat.</w:t>
      </w:r>
    </w:p>
    <w:p>
      <w:r>
        <w:t xml:space="preserve">(2) Die Registerverwaltung rundet Gebühren bei ihrer Festsetzung auf den nächsten vollen Cent ab.</w:t>
      </w:r>
    </w:p>
    <w:p>
      <w:r>
        <w:rPr>
          <w:color w:val="555555"/>
          <w:sz w:val="17"/>
        </w:rPr>
        <w:t xml:space="preserve">Zitiervorschlag: § 3 HkNGebV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https://recht.nulegal.eu/gesetze/HkNGebV/3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