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HkNGebV — Gebühren und Auslagen</w:t>
      </w:r>
    </w:p>
    <w:p>
      <w:r>
        <w:rPr>
          <w:color w:val="555555"/>
          <w:sz w:val="18"/>
        </w:rPr>
        <w:t xml:space="preserve">Herkunfts- und Regionalnachweis- Gebührenverordnung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(1) Das Umweltbundesamt erhebt für individuell zurechenbare öffentliche Leistungen (gebührenfähige Leistungen) im Zusammenhang mit der Ausstellung, Übertragung, Anerkennung und Entwertung von Herkunftsnachweisen sowie für die Nutzung des Herkunftsnachweisregisters Gebühren nach Anlage 1 und Auslagen.</w:t>
      </w:r>
    </w:p>
    <w:p>
      <w:r>
        <w:t xml:space="preserve">(2) Das Umweltbundesamt erhebt für gebührenfähige Leistungen im Zusammenhang mit der Ausstellung, Übertragung und Entwertung von Regionalnachweisen sowie für die Nutzung des Regionalnachweisregisters Gebühren nach Anlage 2 und Auslagen.</w:t>
      </w:r>
    </w:p>
    <w:p>
      <w:r>
        <w:t xml:space="preserve">(3) Sofern in den Anlagen 1 und 2 nichts anderes bestimmt ist, sind für den Zeitaufwand von Verwaltungsbeschäftigten in der Bundesverwaltung die in der Anlage 1 Teil A Abschnitt 1 Nummer 1 der Allgemeinen Gebührenverordnung in der am 18. Februar 2021 geltenden Fassung bestimmten allgemeinen pauschalen Stundensätze für Verwaltungsbeschäftigte in der Bundesverwaltung anzuwenden.</w:t>
      </w:r>
    </w:p>
    <w:p>
      <w:r>
        <w:rPr>
          <w:color w:val="555555"/>
          <w:sz w:val="17"/>
        </w:rPr>
        <w:t xml:space="preserve">Zitiervorschlag: § 1 HkNGebV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https://recht.nulegal.eu/gesetze/HkNGebV/1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