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HkGAufhuaÄndG</w:t>
      </w:r>
    </w:p>
    <w:p>
      <w:r>
        <w:rPr>
          <w:color w:val="555555"/>
          <w:sz w:val="18"/>
        </w:rPr>
        <w:t xml:space="preserve">Gesetz zur Aufhebung des Heimkehrergesetzes und zur Änderung anderer Vorschriften</w:t>
      </w:r>
    </w:p>
    <w:p>
      <w:r>
        <w:rPr>
          <w:color w:val="555555"/>
          <w:sz w:val="18"/>
        </w:rPr>
        <w:t xml:space="preserve">Stand: 10.06.2019 (konsolidierte Textfassung, kein amtliches Inkrafttretensdatum)</w:t>
      </w:r>
    </w:p>
    <w:p>
      <w:r>
        <w:t xml:space="preserve">§ 10 des Heimkehrergesetzes und der Zweite Abschnitt der Verordnung zur Durchführung des Gesetzes über Hilfsmaßnahmen für Heimkehrer sind in der bis zum 28. Dezember 1991 geltenden Fassung bis zum Ende der förderungsfähigen Bildungsmaßnahme weiter anzuwenden, wenn ein Berechtigter vor dem 29. Dezember 1991 in die Bildungsmaßnahme eingetreten ist und erstmals Leistungen beantragt hat.</w:t>
      </w:r>
    </w:p>
    <w:p>
      <w:r>
        <w:rPr>
          <w:color w:val="555555"/>
          <w:sz w:val="17"/>
        </w:rPr>
        <w:t xml:space="preserve">Zitiervorschlag: § 3 HkGAufhuaÄndG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https://recht.nulegal.eu/gesetze/HkGAufhua%C3%84ndG/3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HkGAufhuaÄndG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