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HinSchGOWiZustV</w:t>
      </w:r>
    </w:p>
    <w:p>
      <w:r>
        <w:rPr>
          <w:color w:val="555555"/>
          <w:sz w:val="18"/>
        </w:rPr>
        <w:t xml:space="preserve">Hinweisgeberschutzgesetz-Ordnungswidrigkeiten-Zuständigkeitsverordnung</w:t>
      </w:r>
    </w:p>
    <w:p>
      <w:r>
        <w:rPr>
          <w:color w:val="555555"/>
          <w:sz w:val="18"/>
        </w:rPr>
        <w:t xml:space="preserve">Stand: 15.04.2025 (konsolidierte Textfassung, kein amtliches Inkrafttretensdatum)</w:t>
      </w:r>
    </w:p>
    <w:p>
      <w:r>
        <w:t xml:space="preserve">Das Bundesministerium der Justiz verordnet aufgrund des § 36 Absatz 1 Nummer 2 Buchstabe b und Absatz 3 des Gesetzes über Ordnungswidrigkeiten in der Fassung der Bekanntmachung vom 19. Februar 1987 (BGBl. I S. 602), das zuletzt durch Artikel 10 des Gesetzes vom 12. Juli 2024 (BGBl. 2024 I Nr. 234) geändert worden ist:</w:t>
      </w:r>
    </w:p>
    <w:p>
      <w:r>
        <w:rPr>
          <w:color w:val="555555"/>
          <w:sz w:val="17"/>
        </w:rPr>
        <w:t xml:space="preserve">Zitiervorschlag: Eingangsformel HinSchGOWiZustV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https://recht.nulegal.eu/gesetze/HinSchGOWiZustV/eingangsformel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HinSchGOWiZustV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