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HinSchG — Ausnahmen vom Vertraulichkeitsgebot</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Identität einer hinweisgebenden Person, die vorsätzlich oder grob fahrlässig unrichtige Informationen über Verstöße meldet, wird nicht nach diesem Gesetz geschützt.</w:t>
      </w:r>
    </w:p>
    <w:p>
      <w:r>
        <w:t xml:space="preserve">(2) Informationen über die Identität einer hinweisgebenden Person oder über sonstige Umstände, die Rückschlüsse auf die Identität dieser Person erlauben, dürfen abweichend von § 8 Absatz 1 an die zuständige Stelle weitergegeben werden</w:t>
      </w:r>
    </w:p>
    <w:p>
      <w:pPr>
        <w:ind w:left="420"/>
      </w:pPr>
      <w:r>
        <w:t xml:space="preserve">1. in Strafverfahren auf Verlangen der Strafverfolgungsbehörden,</w:t>
      </w:r>
    </w:p>
    <w:p>
      <w:pPr>
        <w:ind w:left="420"/>
      </w:pPr>
      <w:r>
        <w:t xml:space="preserve">2. aufgrund einer Anordnung in einem einer Meldung nachfolgenden Verwaltungsverfahren, einschließlich verwaltungsbehördlicher Bußgeldverfahren,</w:t>
      </w:r>
    </w:p>
    <w:p>
      <w:pPr>
        <w:ind w:left="420"/>
      </w:pPr>
      <w:r>
        <w:t xml:space="preserve">3. aufgrund einer gerichtlichen Entscheidung,</w:t>
      </w:r>
    </w:p>
    <w:p>
      <w:pPr>
        <w:ind w:left="420"/>
      </w:pPr>
      <w:r>
        <w:t xml:space="preserve">4. von der Bundesanstalt für Finanzdienstleistungsaufsicht als externe Meldestelle nach § 21 an die zuständigen Fachabteilungen innerhalb der Bundesanstalt für Finanzdienstleistungsaufsicht sowie bei in § 109a des Wertpapierhandelsgesetzes genannten Vorgängen an die in § 109a des Wertpapierhandelsgesetzes genannten Stellen oder</w:t>
      </w:r>
    </w:p>
    <w:p>
      <w:pPr>
        <w:ind w:left="420"/>
      </w:pPr>
      <w:r>
        <w:t xml:space="preserve">5. von dem Bundeskartellamt als externe Meldestelle nach § 22 an die zuständigen Fachabteilungen innerhalb des Bundeskartellamtes sowie in den Fällen des § 49 Absatz 2 Satz 2 und Absatz 4 und § 50d des Gesetzes gegen Wettbewerbsbeschränkungen an die jeweils zuständige Wettbewerbsbehörde.</w:t>
      </w:r>
    </w:p>
    <w:p>
      <w:r>
        <w:t xml:space="preserve">Die Meldestelle hat die hinweisgebende Person vorab über die Weitergabe zu informieren. Hiervon ist abzusehen, wenn die Strafverfolgungsbehörde, die zuständige Behörde oder das Gericht der Meldestelle mitgeteilt hat, dass durch die Information die entsprechenden Ermittlungen, Untersuchungen oder Gerichtsverfahren gefährdet würden. Der hinweisgebenden Person sind mit der Information zugleich die Gründe für die Weitergabe schriftlich oder elektronisch darzulegen.</w:t>
      </w:r>
    </w:p>
    <w:p>
      <w:r>
        <w:t xml:space="preserve">(3) Über die Fälle des Absatzes 2 hinaus dürfen Informationen über die Identität der hinweisgebenden Person oder über sonstige Umstände, die Rückschlüsse auf die Identität dieser Person erlauben, weitergegeben werden, wenn</w:t>
      </w:r>
    </w:p>
    <w:p>
      <w:pPr>
        <w:ind w:left="420"/>
      </w:pPr>
      <w:r>
        <w:t xml:space="preserve">1. die Weitergabe für Folgemaßnahmen erforderlich ist und</w:t>
      </w:r>
    </w:p>
    <w:p>
      <w:pPr>
        <w:ind w:left="420"/>
      </w:pPr>
      <w:r>
        <w:t xml:space="preserve">2. die hinweisgebende Person zuvor in die Weitergabe eingewilligt hat.</w:t>
      </w:r>
    </w:p>
    <w:p>
      <w:r>
        <w:t xml:space="preserve">Die Einwilligung nach Satz 1 Nummer 2 muss für jede einzelne Weitergabe von Informationen über die Identität gesondert und in Textform vorliegen. Die Regelung des § 26 Absatz 2 des Bundesdatenschutzgesetzes bleibt unberührt.</w:t>
      </w:r>
    </w:p>
    <w:p>
      <w:r>
        <w:t xml:space="preserve">(4) Informationen über die Identität von Personen, die Gegenstand einer Meldung sind, und von sonstigen in der Meldung genannten Personen dürfen abweichend von § 8 Absatz 1 an die jeweils zuständige Stelle weitergegeben werden</w:t>
      </w:r>
    </w:p>
    <w:p>
      <w:pPr>
        <w:ind w:left="420"/>
      </w:pPr>
      <w:r>
        <w:t xml:space="preserve">1. bei Vorliegen einer diesbezüglichen Einwilligung,</w:t>
      </w:r>
    </w:p>
    <w:p>
      <w:pPr>
        <w:ind w:left="420"/>
      </w:pPr>
      <w:r>
        <w:t xml:space="preserve">2. von internen Meldestellen, sofern dies im Rahmen interner Untersuchungen bei dem jeweiligen Beschäftigungsgeber oder in der jeweiligen Organisationseinheit erforderlich ist,</w:t>
      </w:r>
    </w:p>
    <w:p>
      <w:pPr>
        <w:ind w:left="420"/>
      </w:pPr>
      <w:r>
        <w:t xml:space="preserve">3. sofern dies für das Ergreifen von Folgemaßnahmen erforderlich ist,</w:t>
      </w:r>
    </w:p>
    <w:p>
      <w:pPr>
        <w:ind w:left="420"/>
      </w:pPr>
      <w:r>
        <w:t xml:space="preserve">4. in Strafverfahren auf Verlangen der Strafverfolgungsbehörde,</w:t>
      </w:r>
    </w:p>
    <w:p>
      <w:pPr>
        <w:ind w:left="420"/>
      </w:pPr>
      <w:r>
        <w:t xml:space="preserve">5. aufgrund einer Anordnung in einem einer Meldung nachfolgenden Verwaltungsverfahren, einschließlich verwaltungsbehördlicher Bußgeldverfahren,</w:t>
      </w:r>
    </w:p>
    <w:p>
      <w:pPr>
        <w:ind w:left="420"/>
      </w:pPr>
      <w:r>
        <w:t xml:space="preserve">6. aufgrund einer gerichtlichen Entscheidung,</w:t>
      </w:r>
    </w:p>
    <w:p>
      <w:pPr>
        <w:ind w:left="420"/>
      </w:pPr>
      <w:r>
        <w:t xml:space="preserve">7. von der Bundesanstalt für Finanzdienstleistungsaufsicht als externe Meldestelle nach § 21 an die zuständigen Fachabteilungen innerhalb der Bundesanstalt für Finanzdienstleistungsaufsicht sowie bei in § 109a des Wertpapierhandelsgesetzes genannten Vorgängen an die in § 109a des Wertpapierhandelsgesetzes genannten Stellen oder</w:t>
      </w:r>
    </w:p>
    <w:p>
      <w:pPr>
        <w:ind w:left="420"/>
      </w:pPr>
      <w:r>
        <w:t xml:space="preserve">8. von dem Bundeskartellamt als externe Meldestelle nach § 22 an die zuständigen Fachabteilungen innerhalb des Bundeskartellamtes sowie in den Fällen des § 49 Absatz 2 Satz 2 und Absatz 4 und § 50d des Gesetzes gegen Wettbewerbsbeschränkungen an die jeweils zuständige Wettbewerbsbehörde.</w:t>
      </w:r>
    </w:p>
    <w:p>
      <w:r>
        <w:rPr>
          <w:color w:val="555555"/>
          <w:sz w:val="17"/>
        </w:rPr>
        <w:t xml:space="preserve">Zitiervorschlag: § 9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