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HinSchG — Wahlrecht zwischen interner und externer Meldung</w:t>
      </w:r>
    </w:p>
    <w:p>
      <w:r>
        <w:rPr>
          <w:color w:val="555555"/>
          <w:sz w:val="18"/>
        </w:rPr>
        <w:t xml:space="preserve">Hinweisgeberschutzgesetz</w:t>
      </w:r>
    </w:p>
    <w:p>
      <w:r>
        <w:rPr>
          <w:color w:val="555555"/>
          <w:sz w:val="18"/>
        </w:rPr>
        <w:t xml:space="preserve">Stand: 02.07.2023 (konsolidierte Textfassung, kein amtliches Inkrafttretensdatum)</w:t>
      </w:r>
    </w:p>
    <w:p>
      <w:r>
        <w:t xml:space="preserve">(1) Personen, die beabsichtigen, Informationen über einen Verstoß zu melden, können wählen, ob sie sich an eine interne Meldestelle (§ 12) oder eine externe Meldestelle (§§ 19 bis 24) wenden. Diese Personen sollten in den Fällen, in denen intern wirksam gegen den Verstoß vorgegangen werden kann und sie keine Repressalien befürchten, die Meldung an eine interne Meldestelle bevorzugen. Wenn einem intern gemeldeten Verstoß nicht abgeholfen wurde, bleibt es der hinweisgebenden Person unbenommen, sich an eine externe Meldestelle zu wenden.</w:t>
      </w:r>
    </w:p>
    <w:p>
      <w:r>
        <w:t xml:space="preserve">(2) Es ist verboten, Meldungen oder die auf eine Meldung folgende Kommunikation zwischen hinweisgebender Person und Meldestelle zu behindern oder dies zu versuchen.</w:t>
      </w:r>
    </w:p>
    <w:p>
      <w:r>
        <w:t xml:space="preserve">(3) Beschäftigungsgeber, die nach § 12 Absatz 1 und 3 zur Einrichtung interner Meldestellen verpflichtet sind, sollen Anreize dafür schaffen, dass sich hinweisgebende Personen vor einer Meldung an eine externe Meldestelle zunächst an die jeweilige interne Meldestelle wenden. Diese Beschäftigungsgeber stellen für Beschäftigte klare und leicht zugängliche Informationen über die Nutzung des internen Meldeverfahrens bereit. Die Möglichkeit einer externen Meldung darf hierdurch nicht beschränkt oder erschwert werden.</w:t>
      </w:r>
    </w:p>
    <w:p>
      <w:r>
        <w:rPr>
          <w:color w:val="555555"/>
          <w:sz w:val="17"/>
        </w:rPr>
        <w:t xml:space="preserve">Zitiervorschlag: § 7 HinSchG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https://recht.nulegal.eu/gesetze/HinSchG/7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