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HinSchG — Vorrang von Sicherheitsinteressen sowie Verschwiegenheits- und Geheimhaltungspflichten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Eine Meldung oder Offenlegung fällt nicht in den Anwendungsbereich dieses Gesetzes, wenn sie folgende Informationen beinhaltet:</w:t>
      </w:r>
    </w:p>
    <w:p>
      <w:pPr>
        <w:ind w:left="420"/>
      </w:pPr>
      <w:r>
        <w:t xml:space="preserve">1. Informationen, die die nationale Sicherheit oder wesentliche Sicherheitsinteressen des Staates, insbesondere militärische oder sonstige sicherheitsempfindliche Belange des Geschäftsbereiches des Bundesministeriums der Verteidigung oder Kritische Infrastrukturen im Sinne der BSI-Kritisverordnung, betreffen,</w:t>
      </w:r>
    </w:p>
    <w:p>
      <w:pPr>
        <w:ind w:left="420"/>
      </w:pPr>
      <w:r>
        <w:t xml:space="preserve">2. Informationen von Nachrichtendiensten des Bundes oder der Länder oder von Behörden oder sonstigen öffentlichen Stellen des Bundes oder der Länder, soweit sie Aufgaben im Sinne des § 10 Nummer 3 des Sicherheitsüberprüfungsgesetzes oder im Sinne entsprechender Rechtsvorschriften der Länder wahrnehmen, oder</w:t>
      </w:r>
    </w:p>
    <w:p>
      <w:pPr>
        <w:ind w:left="420"/>
      </w:pPr>
      <w:r>
        <w:t xml:space="preserve">3. Informationen, die die Vergabe öffentlicher Aufträge und Konzessionen, die in den Anwendungsbereich des Artikels 346 des Vertrags über die Arbeitsweise der Europäischen Union fallen, betreffen.</w:t>
      </w:r>
    </w:p>
    <w:p>
      <w:r>
        <w:t xml:space="preserve">(2) Eine Meldung oder Offenlegung fällt auch nicht in den Anwendungsbereich dieses Gesetzes, wenn ihr entgegenstehen:</w:t>
      </w:r>
    </w:p>
    <w:p>
      <w:pPr>
        <w:ind w:left="420"/>
      </w:pPr>
      <w:r>
        <w:t xml:space="preserve">1. eine Geheimhaltungs- oder Vertraulichkeitspflicht zum materiellen oder organisatorischen Schutz von Verschlusssachen, es sei denn, es handelt sich um die Meldung eines Verstoßes nach § 2 Absatz 1 Nummer 1 an eine interne Meldestelle (§ 12), mit den Aufgaben der internen Meldestelle wurde kein Dritter nach § 14 Absatz 1 betraut und die betreffende Geheimhaltungs- oder Vertraulichkeitspflicht bezieht sich auf eine Verschlusssache des Bundes nach § 4 Absatz 2 Nummer 4 des Sicherheitsüberprüfungsgesetzes oder auf eine entsprechende Verschlusssache nach den Rechtsvorschriften der Länder,</w:t>
      </w:r>
    </w:p>
    <w:p>
      <w:pPr>
        <w:ind w:left="420"/>
      </w:pPr>
      <w:r>
        <w:t xml:space="preserve">2. das richterliche Beratungsgeheimnis,</w:t>
      </w:r>
    </w:p>
    <w:p>
      <w:pPr>
        <w:ind w:left="420"/>
      </w:pPr>
      <w:r>
        <w:t xml:space="preserve">3. die Pflichten zur Wahrung der Verschwiegenheit durch Rechtsanwälte, Verteidiger in einem gesetzlich geordneten Verfahren, Kammerrechtsbeistände, Patentanwälte und Notare,</w:t>
      </w:r>
    </w:p>
    <w:p>
      <w:pPr>
        <w:ind w:left="420"/>
      </w:pPr>
      <w:r>
        <w:t xml:space="preserve">4. die Pflichten zur Wahrung der Verschwiegenheit durch Ärzte, Zahnärzte, Apotheker und Angehörige eines anderen Heilberufs, der für die Berufsausübung oder die Führung der Berufsbezeichnung eine staatlich geregelte Ausbildung erfordert, mit Ausnahme von Tierärzten, soweit es um Verstöße gegen von § 2 Absatz 1 Nummer 3 Buchstabe k erfasste Rechtsvorschriften zum Schutz von gewerblich gehaltenen landwirtschaftlichen Nutztieren geht, oder</w:t>
      </w:r>
    </w:p>
    <w:p>
      <w:pPr>
        <w:ind w:left="420"/>
      </w:pPr>
      <w:r>
        <w:t xml:space="preserve">5. die Pflichten zur Wahrung der Verschwiegenheit durch Personen, die aufgrund eines Vertragsverhältnisses einschließlich der gemeinschaftlichen Berufsausübung, einer berufsvorbereitenden Tätigkeit oder einer sonstigen Hilfstätigkeit an der beruflichen Tätigkeit der in den Nummern 2, 3 und 4 genannten Berufsgeheimnisträger mitwirken.</w:t>
      </w:r>
    </w:p>
    <w:p>
      <w:r>
        <w:rPr>
          <w:color w:val="555555"/>
          <w:sz w:val="17"/>
        </w:rPr>
        <w:t xml:space="preserve">Zitiervorschlag: § 5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