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HinSchG — Verhältnis zu sonstigen Bestimmungen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Diesem Gesetz gehen spezifische Regelungen über die Mitteilung von Informationen über Verstöße in den folgenden Vorschriften vor:</w:t>
      </w:r>
    </w:p>
    <w:p>
      <w:pPr>
        <w:ind w:left="420"/>
      </w:pPr>
      <w:r>
        <w:t xml:space="preserve">1. § 6 Absatz 5 und § 53 des Geldwäschegesetzes,</w:t>
      </w:r>
    </w:p>
    <w:p>
      <w:pPr>
        <w:ind w:left="420"/>
      </w:pPr>
      <w:r>
        <w:t xml:space="preserve">2. § 25a Absatz 1 Satz 6 Nummer 3 des Kreditwesengesetzes und § 13 Absatz 1 des Wertpapierinstitutsgesetzes,</w:t>
      </w:r>
    </w:p>
    <w:p>
      <w:pPr>
        <w:ind w:left="420"/>
      </w:pPr>
      <w:r>
        <w:t xml:space="preserve">3. § 58 des Wertpapierhandelsgesetzes,</w:t>
      </w:r>
    </w:p>
    <w:p>
      <w:pPr>
        <w:ind w:left="420"/>
      </w:pPr>
      <w:r>
        <w:t xml:space="preserve">4. § 23 Absatz 6 des Versicherungsaufsichtsgesetzes,</w:t>
      </w:r>
    </w:p>
    <w:p>
      <w:pPr>
        <w:ind w:left="420"/>
      </w:pPr>
      <w:r>
        <w:t xml:space="preserve">5. § 28 Absatz 1 Satz 2 Nummer 9 und § 68 Absatz 4 Satz 3 des Kapitalanlagegesetzbuchs,</w:t>
      </w:r>
    </w:p>
    <w:p>
      <w:pPr>
        <w:ind w:left="420"/>
      </w:pPr>
      <w:r>
        <w:t xml:space="preserve">6. §§ 3b und 5 Absatz 8 des Börsengesetzes,</w:t>
      </w:r>
    </w:p>
    <w:p>
      <w:pPr>
        <w:ind w:left="420"/>
      </w:pPr>
      <w:r>
        <w:t xml:space="preserve">7. § 55b Absatz 2 Nummer 7 der Wirtschaftsprüferordnung,</w:t>
      </w:r>
    </w:p>
    <w:p>
      <w:pPr>
        <w:ind w:left="420"/>
      </w:pPr>
      <w:r>
        <w:t xml:space="preserve">8. Artikel 32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348 vom 21.12.2016, S. 83), die zuletzt durch die Delegierte Verordnung (EU) 2021/1783 (ABl. L 359 vom 11.10.2021, S. 1) geändert worden ist, in der jeweils geltenden Fassung,</w:t>
      </w:r>
    </w:p>
    <w:p>
      <w:pPr>
        <w:ind w:left="420"/>
      </w:pPr>
      <w:r>
        <w:t xml:space="preserve">9. Artikel 4 und 5 der Verordnung (EU) Nr. 376/2014 des Europäischen Parlaments und des Rates vom 3. April 2014 über die Meldung, Analyse und Weiterverfolgung von Ereignissen in der Zivilluftfahrt, zur Änderung der Verordnung (EU) Nr. 996/2010 des Europäischen Parlaments und des Rates und zur Aufhebung der Richtlinie 2003/42/EG des Europäischen Parlaments und des Rates und der Verordnungen (EG) Nr. 1321/2007 und (EG) Nr. 1330/2007 der Kommission (ABl. L 122 vom 24.4.2014, S. 18), die zuletzt durch die Delegierte Verordnung (EU) 2020/2034 (ABl. L 416 vom 11.12.2020, S. 1) geändert worden ist, in der jeweils geltenden Fassung, und der aufgrund des § 32 Absatz 1 Nummer 1 des Luftverkehrsgesetzes erlassenen Rechtsverordnungen,</w:t>
      </w:r>
    </w:p>
    <w:p>
      <w:pPr>
        <w:ind w:left="420"/>
      </w:pPr>
      <w:r>
        <w:t xml:space="preserve">10. §§ 127 und 128 des Seearbeitsgesetzes,</w:t>
      </w:r>
    </w:p>
    <w:p>
      <w:pPr>
        <w:ind w:left="420"/>
      </w:pPr>
      <w:r>
        <w:t xml:space="preserve">11. § 14 Absatz 1 des Schiffssicherheitsgesetzes in Verbindung mit Abschnitt D Nummer 8 der Anlage zum Schiffssicherheitsgesetz und den aufgrund der §§ 9, 9a und 9c des Seeaufgabengesetzes erlassenen Rechtsverordnungen für Beschwerden, die die Sicherheit eines Schiffes unter ausländischer Flagge einschließlich der Sicherheit und Gesundheit seiner Besatzung, der Lebens- und Arbeitsbedingungen an Bord und der Verhütung von Verschmutzung durch Schiffe unter ausländischer Flagge betreffen, und</w:t>
      </w:r>
    </w:p>
    <w:p>
      <w:pPr>
        <w:ind w:left="420"/>
      </w:pPr>
      <w:r>
        <w:t xml:space="preserve">12. aufgrund des § 57c Satz 1 Nummer 1 und des § 68 Absatz 2 in Verbindung mit Absatz 3 und mit den §§ 65, 66 und 67 Nummer 1 und 8 und den §§ 126, 128 und 129 des Bundesberggesetzes erlassenen Rechtsverordnungen.</w:t>
      </w:r>
    </w:p>
    <w:p>
      <w:r>
        <w:t xml:space="preserve">Soweit die spezifischen Regelungen in Satz 1 keine Vorgaben machen, gelten die Bestimmungen dieses Gesetzes.</w:t>
      </w:r>
    </w:p>
    <w:p>
      <w:r>
        <w:t xml:space="preserve">(2) Das Verbraucherinformationsgesetz, das Informationsfreiheitsgesetz sowie Regelungen der Länder über den Zugang zu amtlichen Informationen finden keine Anwendung auf die Vorgänge nach diesem Gesetz. Satz 1 gilt nicht für die Regelungen des Bundes und der Länder über den Zugang zu Umweltinformationen.</w:t>
      </w:r>
    </w:p>
    <w:p>
      <w:r>
        <w:t xml:space="preserve">(3) Die §§ 81h bis 81n des Gesetzes gegen Wettbewerbsbeschränkungen bleiben unberührt.</w:t>
      </w:r>
    </w:p>
    <w:p>
      <w:r>
        <w:t xml:space="preserve">(4) Die Regelungen des Strafprozessrechts werden von den Vorgaben dieses Gesetzes nicht berührt.</w:t>
      </w:r>
    </w:p>
    <w:p>
      <w:r>
        <w:rPr>
          <w:color w:val="555555"/>
          <w:sz w:val="17"/>
        </w:rPr>
        <w:t xml:space="preserve">Zitiervorschlag: § 4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