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HinSchG — Verbot abweichender Vereinbarungen</w:t>
      </w:r>
    </w:p>
    <w:p>
      <w:r>
        <w:rPr>
          <w:color w:val="555555"/>
          <w:sz w:val="18"/>
        </w:rPr>
        <w:t xml:space="preserve">Hinweisgeberschutzgesetz</w:t>
      </w:r>
    </w:p>
    <w:p>
      <w:r>
        <w:rPr>
          <w:color w:val="555555"/>
          <w:sz w:val="18"/>
        </w:rPr>
        <w:t xml:space="preserve">Stand: 02.07.2023 (konsolidierte Textfassung, kein amtliches Inkrafttretensdatum)</w:t>
      </w:r>
    </w:p>
    <w:p>
      <w:r>
        <w:t xml:space="preserve">Vereinbarungen, die die nach diesem Gesetz bestehenden Rechte hinweisgebender Personen oder sonst nach diesem Gesetz geschützter Personen einschränken, sind unwirksam.</w:t>
      </w:r>
    </w:p>
    <w:p>
      <w:r>
        <w:rPr>
          <w:color w:val="555555"/>
          <w:sz w:val="17"/>
        </w:rPr>
        <w:t xml:space="preserve">Zitiervorschlag: § 39 HinSchG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https://recht.nulegal.eu/gesetze/HinSchG/39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