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37 HinSchG — Schadensersatz nach Repressalien</w:t>
      </w:r>
    </w:p>
    <w:p>
      <w:r>
        <w:rPr>
          <w:color w:val="555555"/>
          <w:sz w:val="18"/>
        </w:rPr>
        <w:t xml:space="preserve">Hinweisgeberschutzgesetz</w:t>
      </w:r>
    </w:p>
    <w:p>
      <w:r>
        <w:rPr>
          <w:color w:val="555555"/>
          <w:sz w:val="18"/>
        </w:rPr>
        <w:t xml:space="preserve">Stand: 02.07.2023 (konsolidierte Textfassung, kein amtliches Inkrafttretensdatum)</w:t>
      </w:r>
    </w:p>
    <w:p>
      <w:r>
        <w:t xml:space="preserve">(1) Bei einem Verstoß gegen das Verbot von Repressalien ist der Verursacher verpflichtet, der hinweisgebenden Person den daraus entstehenden Schaden zu ersetzen.</w:t>
      </w:r>
    </w:p>
    <w:p>
      <w:r>
        <w:t xml:space="preserve">(2) Ein Verstoß gegen das Verbot von Repressalien begründet keinen Anspruch auf Begründung eines Beschäftigungsverhältnisses, eines Berufsausbildungsverhältnisses oder eines anderen Vertragsverhältnisses oder auf einen beruflichen Aufstieg.</w:t>
      </w:r>
    </w:p>
    <w:p>
      <w:r>
        <w:rPr>
          <w:color w:val="555555"/>
          <w:sz w:val="17"/>
        </w:rPr>
        <w:t xml:space="preserve">Zitiervorschlag: § 37 HinSchG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https://recht.nulegal.eu/gesetze/HinSchG/37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37 HinSchG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