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HinSchG — Weitere externe Meldestellen</w:t>
      </w:r>
    </w:p>
    <w:p>
      <w:r>
        <w:rPr>
          <w:color w:val="555555"/>
          <w:sz w:val="18"/>
        </w:rPr>
        <w:t xml:space="preserve">Hinweisgeberschutzgesetz</w:t>
      </w:r>
    </w:p>
    <w:p>
      <w:r>
        <w:rPr>
          <w:color w:val="555555"/>
          <w:sz w:val="18"/>
        </w:rPr>
        <w:t xml:space="preserve">Stand: 02.07.2023 (konsolidierte Textfassung, kein amtliches Inkrafttretensdatum)</w:t>
      </w:r>
    </w:p>
    <w:p>
      <w:r>
        <w:t xml:space="preserve">(1) Der Bund richtet eine weitere externe Meldestelle ein für externe Meldungen, die die externe Meldestelle des Bundes nach § 19 betreffen.</w:t>
      </w:r>
    </w:p>
    <w:p>
      <w:r>
        <w:t xml:space="preserve">(2) Für Meldungen, die eine externe Meldestelle nach den §§ 20 bis 22 betreffen, ist weitere externe Meldestelle die externe Meldestelle des Bundes nach § 19.</w:t>
      </w:r>
    </w:p>
    <w:p>
      <w:r>
        <w:rPr>
          <w:color w:val="555555"/>
          <w:sz w:val="17"/>
        </w:rPr>
        <w:t xml:space="preserve">Zitiervorschlag: § 23 HinSchG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https://recht.nulegal.eu/gesetze/HinSchG/23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HinSchG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