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HinSchG — Bundeskartellamt als externe Meldestelle</w:t>
      </w:r>
    </w:p>
    <w:p>
      <w:r>
        <w:rPr>
          <w:color w:val="555555"/>
          <w:sz w:val="18"/>
        </w:rPr>
        <w:t xml:space="preserve">Hinweisgeberschutzgesetz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(1) Das Bundeskartellamt ist zuständige externe Meldestelle für Meldungen von Informationen über Verstöße nach § 2 Absatz 1 Nummer 8 und 9. § 7 Absatz 1 Satz 3 findet mit der Maßgabe Anwendung, dass sich die hinweisgebende Person jederzeit und unabhängig vom Ausgang des Verfahrens über die interne Meldung an das Bundeskartellamt wenden kann.</w:t>
      </w:r>
    </w:p>
    <w:p>
      <w:r>
        <w:t xml:space="preserve">(2) Die Befugnisse des Bundeskartellamts nach anderen Vorschriften bleiben unberührt.</w:t>
      </w:r>
    </w:p>
    <w:p>
      <w:r>
        <w:rPr>
          <w:color w:val="555555"/>
          <w:sz w:val="17"/>
        </w:rPr>
        <w:t xml:space="preserve">Zitiervorschlag: § 22 HinSchG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HinSchG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