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HinSchG — Bundesanstalt für Finanzdienstleistungsaufsicht als externe Meldestelle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Die Bundesanstalt für Finanzdienstleistungsaufsicht ist zuständige externe Meldestelle für</w:t>
      </w:r>
    </w:p>
    <w:p>
      <w:pPr>
        <w:ind w:left="420"/>
      </w:pPr>
      <w:r>
        <w:t xml:space="preserve">1. Meldungen, die von § 4d des Finanzdienstleistungsaufsichtsgesetzes erfasst werden, einschließlich Meldungen, die Vorschriften des Wertpapiererwerbs- und Übernahmegesetzes betreffen,</w:t>
      </w:r>
    </w:p>
    <w:p>
      <w:pPr>
        <w:ind w:left="420"/>
      </w:pPr>
      <w:r>
        <w:t xml:space="preserve">2. Meldungen von Informationen über Verstöße</w:t>
      </w:r>
    </w:p>
    <w:p>
      <w:pPr>
        <w:ind w:left="780"/>
      </w:pPr>
      <w:r>
        <w:t xml:space="preserve">a) nach § 2 Absatz 1 Nummer 3 Buchstabe a, soweit die Bundesanstalt für Finanzdienstleistungsaufsicht zuständige Behörde im Sinne des § 50 Absatz 1 Nummer 1 oder Nummer 2 des Geldwäschegesetzes ist, sowie</w:t>
      </w:r>
    </w:p>
    <w:p>
      <w:pPr>
        <w:ind w:left="780"/>
      </w:pPr>
      <w:r>
        <w:t xml:space="preserve">b) nach § 2 Absatz 1 Nummer 3 Buchstabe r bis t.</w:t>
      </w:r>
    </w:p>
    <w:p>
      <w:r>
        <w:t xml:space="preserve">Für die über dieses Gesetz hinausgehende nähere Ausgestaltung der Organisation und des Verfahrens der Bundesanstalt für Finanzdienstleistungsaufsicht als externe Meldestelle gilt § 4d des Finanzdienstleistungsaufsichtsgesetzes.</w:t>
      </w:r>
    </w:p>
    <w:p>
      <w:r>
        <w:rPr>
          <w:color w:val="555555"/>
          <w:sz w:val="17"/>
        </w:rPr>
        <w:t xml:space="preserve">Zitiervorschlag: § 21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