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HinSchG — Errichtung und Zuständigkeit externer Meldestellen der Länder</w:t>
      </w:r>
    </w:p>
    <w:p>
      <w:r>
        <w:rPr>
          <w:color w:val="555555"/>
          <w:sz w:val="18"/>
        </w:rPr>
        <w:t xml:space="preserve">Hinweisgeberschutzgesetz</w:t>
      </w:r>
    </w:p>
    <w:p>
      <w:r>
        <w:rPr>
          <w:color w:val="555555"/>
          <w:sz w:val="18"/>
        </w:rPr>
        <w:t xml:space="preserve">Stand: 02.07.2023 (konsolidierte Textfassung, kein amtliches Inkrafttretensdatum)</w:t>
      </w:r>
    </w:p>
    <w:p>
      <w:r>
        <w:t xml:space="preserve">Jedes Land kann eine eigene externe Meldestelle einrichten für Meldungen, die die jeweilige Landesverwaltung und die jeweiligen Kommunalverwaltungen betreffen.</w:t>
      </w:r>
    </w:p>
    <w:p>
      <w:r>
        <w:rPr>
          <w:color w:val="555555"/>
          <w:sz w:val="17"/>
        </w:rPr>
        <w:t xml:space="preserve">Zitiervorschlag: § 20 HinSchG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https://recht.nulegal.eu/gesetze/HinSchG/20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