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14 HinSchG — Organisationsformen interner Meldestellen</w:t>
      </w:r>
    </w:p>
    <w:p>
      <w:r>
        <w:rPr>
          <w:color w:val="555555"/>
          <w:sz w:val="18"/>
        </w:rPr>
        <w:t xml:space="preserve">Hinweisgeberschutzgesetz</w:t>
      </w:r>
    </w:p>
    <w:p>
      <w:r>
        <w:rPr>
          <w:color w:val="555555"/>
          <w:sz w:val="18"/>
        </w:rPr>
        <w:t xml:space="preserve">Stand: 02.07.2023 (konsolidierte Textfassung, kein amtliches Inkrafttretensdatum)</w:t>
      </w:r>
    </w:p>
    <w:p>
      <w:r>
        <w:t xml:space="preserve">(1) Eine interne Meldestelle kann eingerichtet werden, indem eine bei dem jeweiligen Beschäftigungsgeber oder bei der jeweiligen Organisationseinheit beschäftigte Person, eine aus mehreren beschäftigten Personen bestehende Arbeitseinheit oder ein Dritter mit den Aufgaben einer internen Meldestelle betraut wird. Die Betrauung eines Dritten mit den Aufgaben einer internen Meldestelle entbindet den betrauenden Beschäftigungsgeber nicht von der Pflicht, selbst geeignete Maßnahmen zu ergreifen, um einen etwaigen Verstoß abzustellen. Ist der Beschäftigungsgeber der Bund oder ein Land, gilt Satz 2 für die jeweiligen Organisationseinheiten entsprechend.</w:t>
      </w:r>
    </w:p>
    <w:p>
      <w:r>
        <w:t xml:space="preserve">(2) Mehrere private Beschäftigungsgeber mit in der Regel 50 bis 249 Beschäftigten können für die Entgegennahme von Meldungen und für die weiteren nach diesem Gesetz vorgesehenen Maßnahmen eine gemeinsame Stelle einrichten und betreiben. Die Pflicht, Maßnahmen zu ergreifen, um den Verstoß abzustellen, und die Pflicht zur Rückmeldung an die hinweisgebende Person verbleiben bei dem einzelnen Beschäftigungsgeber.</w:t>
      </w:r>
    </w:p>
    <w:p>
      <w:r>
        <w:rPr>
          <w:color w:val="555555"/>
          <w:sz w:val="17"/>
        </w:rPr>
        <w:t xml:space="preserve">Zitiervorschlag: § 14 HinSchG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https://recht.nulegal.eu/gesetze/HinSchG/14</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14 HinSchG</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