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HinSchG — Dokumentation der Meldungen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 Personen, die in einer Meldestelle für die Entgegennahme von Meldungen zuständig sind, dokumentieren alle eingehenden Meldungen in dauerhaft abrufbarer Weise unter Beachtung des Vertraulichkeitsgebots (§ 8).</w:t>
      </w:r>
    </w:p>
    <w:p>
      <w:r>
        <w:t xml:space="preserve">(2) Bei telefonischen Meldungen oder Meldungen mittels einer anderen Art der Sprachübermittlung darf eine dauerhaft abrufbare Tonaufzeichnung des Gesprächs oder dessen vollständige und genaue Niederschrift (Wortprotokoll) nur mit Einwilligung der hinweisgebenden Person erfolgen. Liegt eine solche Einwilligung nicht vor, ist die Meldung durch eine von der für die Bearbeitung der Meldung verantwortlichen Person zu erstellende Zusammenfassung ihres Inhalts (Inhaltsprotokoll) zu dokumentieren.</w:t>
      </w:r>
    </w:p>
    <w:p>
      <w:r>
        <w:t xml:space="preserve">(3) Erfolgt die Meldung im Rahmen einer Zusammenkunft gemäß § 16 Absatz 3 oder § 27 Absatz 3, darf mit Zustimmung der hinweisgebenden Person eine vollständige und genaue Aufzeichnung der Zusammenkunft erstellt und aufbewahrt werden. Die Aufzeichnung kann durch Erstellung einer Tonaufzeichnung des Gesprächs in dauerhaft abrufbarer Form oder durch ein von der für die Bearbeitung der Meldung verantwortlichen Person erstelltes Wortprotokoll der Zusammenkunft erfolgen.</w:t>
      </w:r>
    </w:p>
    <w:p>
      <w:r>
        <w:t xml:space="preserve">(4) Der hinweisgebenden Person ist Gelegenheit zu geben, das Protokoll zu überprüfen, gegebenenfalls zu korrigieren und es durch ihre Unterschrift oder in elektronischer Form zu bestätigen. Wird eine Tonaufzeichnung zur Anfertigung eines Protokolls verwendet, so ist sie zu löschen, sobald das Protokoll fertiggestellt ist.</w:t>
      </w:r>
    </w:p>
    <w:p>
      <w:r>
        <w:t xml:space="preserve">(5) Die Dokumentation wird drei Jahre nach Abschluss des Verfahrens gelöscht. Die Dokumentation kann länger aufbewahrt werden, um die Anforderungen nach diesem Gesetz oder nach anderen Rechtsvorschriften zu erfüllen, solange dies erforderlich und verhältnismäßig ist.</w:t>
      </w:r>
    </w:p>
    <w:p>
      <w:r>
        <w:rPr>
          <w:color w:val="555555"/>
          <w:sz w:val="17"/>
        </w:rPr>
        <w:t xml:space="preserve">Zitiervorschlag: § 11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