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HilfetelefonG — Anforderungen an die Erreichbarkeit</w:t>
      </w:r>
    </w:p>
    <w:p>
      <w:r>
        <w:rPr>
          <w:color w:val="555555"/>
          <w:sz w:val="18"/>
        </w:rPr>
        <w:t xml:space="preserve">Hilfetelefongesetz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Hilfetelefon ist 24 Stunden täglich unter einer entgeltfreien Rufnummer erreichbar.</w:t>
      </w:r>
    </w:p>
    <w:p>
      <w:r>
        <w:t xml:space="preserve">(2) Die Angebote des Hilfetelefons werden zusätzlich über andere Wege der elektronischen Kommunikation bereitgestellt.</w:t>
      </w:r>
    </w:p>
    <w:p>
      <w:r>
        <w:t xml:space="preserve">(3) Das Bundesamt für Familie und zivilgesellschaftliche Aufgaben stellt sicher, dass die Angebote des Hilfetelefons ohne unzumutbare Wartezeiten in Anspruch genommen werden können.</w:t>
      </w:r>
    </w:p>
    <w:p>
      <w:r>
        <w:rPr>
          <w:color w:val="555555"/>
          <w:sz w:val="17"/>
        </w:rPr>
        <w:t xml:space="preserve">Zitiervorschlag: § 5 HilfetelefonG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https://recht.nulegal.eu/gesetze/HilfetelefonG/5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