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HilfetelefonG — Einrichtung</w:t>
      </w:r>
    </w:p>
    <w:p>
      <w:r>
        <w:rPr>
          <w:color w:val="555555"/>
          <w:sz w:val="18"/>
        </w:rPr>
        <w:t xml:space="preserve">Hilfetelefongesetz</w:t>
      </w:r>
    </w:p>
    <w:p>
      <w:r>
        <w:rPr>
          <w:color w:val="555555"/>
          <w:sz w:val="18"/>
        </w:rPr>
        <w:t xml:space="preserve">Stand: 10.06.2019 (konsolidierte Textfassung, kein amtliches Inkrafttretensdatum)</w:t>
      </w:r>
    </w:p>
    <w:p>
      <w:r>
        <w:t xml:space="preserve">Der Bund richtet beim Bundesamt für Familie und zivilgesellschaftliche Aufgaben ein bundesweites zentrales Hilfetelefon „Gewalt gegen Frauen“ ein. Das Hilfetelefon untersteht der Fachaufsicht des Bundesministeriums für Familie, Senioren, Frauen und Jugend.</w:t>
      </w:r>
    </w:p>
    <w:p>
      <w:r>
        <w:rPr>
          <w:color w:val="555555"/>
          <w:sz w:val="17"/>
        </w:rPr>
        <w:t xml:space="preserve">Zitiervorschlag: § 1 HilfetelefonG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https://recht.nulegal.eu/gesetze/HilfetelefonG/1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