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HiKassGAufhG</w:t>
      </w:r>
    </w:p>
    <w:p>
      <w:r>
        <w:rPr>
          <w:color w:val="555555"/>
          <w:sz w:val="18"/>
        </w:rPr>
        <w:t xml:space="preserve">Gesetz betreffend die Aufhebung des Hilfskassengesetzes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Sie können für bestimmte Bezirke örtliche Verwaltungsstellen (Abteilungen, Zweigvereine) errichten. Die Satzung des Versicherungsvereins regelt ihre Verfassung und ihre Befugnisse.</w:t>
      </w:r>
    </w:p>
    <w:p>
      <w:r>
        <w:t xml:space="preserve">(2) Die Bescheinigungen der Aufsichtsbehörde über die Zusammensetzung der Verwaltungsorgane der Versicherungsvereine und ihrer örtlichen Verwaltungsstellen sind gebühren- und stempelfrei.</w:t>
      </w:r>
    </w:p>
    <w:p>
      <w:r>
        <w:rPr>
          <w:color w:val="555555"/>
          <w:sz w:val="17"/>
        </w:rPr>
        <w:t xml:space="preserve">Zitiervorschlag: § 7 HiKassGAufhG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https://recht.nulegal.eu/gesetze/HiKassGAufhG/7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