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HiKassGAufhG</w:t>
      </w:r>
    </w:p>
    <w:p>
      <w:r>
        <w:rPr>
          <w:color w:val="555555"/>
          <w:sz w:val="18"/>
        </w:rPr>
        <w:t xml:space="preserve">Gesetz betreffend die Aufhebung des Hilfskassengesetzes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§ 11 tritt sofort in Kraft. Der Tag, mit dem die übrigen Vorschriften dieses Gesetzes in Kraft treten, wird durch Kaiserliche Verordnung mit Zustimmung des Bundesrats bestimmt.</w:t>
      </w:r>
    </w:p>
    <w:p>
      <w:r>
        <w:rPr>
          <w:color w:val="555555"/>
          <w:sz w:val="17"/>
        </w:rPr>
        <w:t xml:space="preserve">Zitiervorschlag: § 12 HiKassGAufhG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https://recht.nulegal.eu/gesetze/HiKassGAufhG/12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